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C600" w14:textId="13C135EF" w:rsidR="007B7AA6" w:rsidRPr="00F762E1" w:rsidRDefault="007B7AA6" w:rsidP="007B7AA6">
      <w:pPr>
        <w:pStyle w:val="Title"/>
      </w:pPr>
      <w:r w:rsidRPr="00F762E1">
        <w:t>Faculty Research</w:t>
      </w:r>
    </w:p>
    <w:p w14:paraId="599E9DC0" w14:textId="61A41A70" w:rsidR="00487F2F" w:rsidRPr="00F762E1" w:rsidRDefault="00F41823" w:rsidP="007F547E">
      <w:pPr>
        <w:jc w:val="center"/>
        <w:rPr>
          <w:rFonts w:ascii="Aptos Narrow" w:hAnsi="Aptos Narrow"/>
          <w:b/>
          <w:bCs/>
        </w:rPr>
      </w:pPr>
      <w:r w:rsidRPr="00F762E1">
        <w:rPr>
          <w:rFonts w:ascii="Aptos Narrow" w:hAnsi="Aptos Narrow"/>
          <w:b/>
          <w:bCs/>
        </w:rPr>
        <w:t>Examining non-traditional online learners’ ownership of learning in the context of ChatGPT-facilitated design</w:t>
      </w:r>
    </w:p>
    <w:p w14:paraId="5AA33C48" w14:textId="754E6545" w:rsidR="007F547E" w:rsidRPr="00F762E1" w:rsidRDefault="007F547E" w:rsidP="007F547E">
      <w:pPr>
        <w:rPr>
          <w:rFonts w:ascii="Aptos Narrow" w:hAnsi="Aptos Narrow"/>
        </w:rPr>
      </w:pPr>
      <w:r w:rsidRPr="00F762E1">
        <w:rPr>
          <w:rFonts w:ascii="Aptos Narrow" w:hAnsi="Aptos Narrow"/>
        </w:rPr>
        <w:t>This white paper provides a summary of the work from:</w:t>
      </w:r>
    </w:p>
    <w:p w14:paraId="61FFF219" w14:textId="1FF2D81B" w:rsidR="007F547E" w:rsidRDefault="00022010" w:rsidP="007F547E">
      <w:pPr>
        <w:rPr>
          <w:rFonts w:ascii="Aptos Narrow" w:hAnsi="Aptos Narrow"/>
          <w:lang w:eastAsia="zh-CN"/>
        </w:rPr>
      </w:pPr>
      <w:r w:rsidRPr="00F762E1">
        <w:rPr>
          <w:rFonts w:ascii="Aptos Narrow" w:hAnsi="Aptos Narrow"/>
        </w:rPr>
        <w:t>Yang, M., Luo, T., Herman, K., Li, B., Chappell Moots, S., Glaser, N., &amp; Jiang, S. (2025). Examining non-traditional online learners’ ownership of learning in the context of ChatGPT-facilitated design. </w:t>
      </w:r>
      <w:r w:rsidRPr="00F762E1">
        <w:rPr>
          <w:rFonts w:ascii="Aptos Narrow" w:hAnsi="Aptos Narrow"/>
          <w:i/>
          <w:iCs/>
        </w:rPr>
        <w:t xml:space="preserve">Journal of Computing in Higher Education, </w:t>
      </w:r>
      <w:r w:rsidRPr="00F762E1">
        <w:rPr>
          <w:rFonts w:ascii="Aptos Narrow" w:hAnsi="Aptos Narrow"/>
        </w:rPr>
        <w:t>1-33.</w:t>
      </w:r>
      <w:r w:rsidR="0000396F" w:rsidRPr="00F762E1">
        <w:rPr>
          <w:rFonts w:ascii="Aptos Narrow" w:hAnsi="Aptos Narrow"/>
        </w:rPr>
        <w:t xml:space="preserve"> </w:t>
      </w:r>
      <w:r w:rsidR="00C5570F" w:rsidRPr="00C5570F">
        <w:rPr>
          <w:rFonts w:ascii="Aptos Narrow" w:hAnsi="Aptos Narrow"/>
        </w:rPr>
        <w:t>https://link.springer.com/article/10.1007/s12528-025-09476-y</w:t>
      </w:r>
    </w:p>
    <w:p w14:paraId="7459AF84" w14:textId="3771E8CB" w:rsidR="00C5570F" w:rsidRPr="00F762E1" w:rsidRDefault="00C5570F" w:rsidP="007F547E">
      <w:pPr>
        <w:rPr>
          <w:rFonts w:ascii="Aptos Narrow" w:hAnsi="Aptos Narrow"/>
          <w:lang w:eastAsia="zh-CN"/>
        </w:rPr>
      </w:pPr>
      <w:r>
        <w:rPr>
          <w:rFonts w:ascii="Aptos Narrow" w:hAnsi="Aptos Narrow" w:hint="eastAsia"/>
          <w:lang w:eastAsia="zh-CN"/>
        </w:rPr>
        <w:t xml:space="preserve">*First two co-authors contributed equally to this manuscript. </w:t>
      </w:r>
    </w:p>
    <w:p w14:paraId="17A4F901" w14:textId="7A8FC998" w:rsidR="00495B4A" w:rsidRPr="00F762E1" w:rsidRDefault="00495B4A" w:rsidP="007F547E">
      <w:pPr>
        <w:rPr>
          <w:rFonts w:ascii="Aptos Narrow" w:hAnsi="Aptos Narrow"/>
          <w:b/>
          <w:bCs/>
        </w:rPr>
      </w:pPr>
      <w:r w:rsidRPr="00F762E1">
        <w:rPr>
          <w:rFonts w:ascii="Aptos Narrow" w:hAnsi="Aptos Narrow"/>
          <w:b/>
          <w:bCs/>
        </w:rPr>
        <w:t xml:space="preserve">Research Author Bios: </w:t>
      </w:r>
    </w:p>
    <w:p w14:paraId="1D294D6C" w14:textId="25AEBFB5" w:rsidR="00A93F34" w:rsidRDefault="00AE7917" w:rsidP="007F547E">
      <w:pPr>
        <w:rPr>
          <w:rFonts w:ascii="Aptos Narrow" w:hAnsi="Aptos Narrow"/>
          <w:lang w:eastAsia="zh-CN"/>
        </w:rPr>
      </w:pPr>
      <w:r w:rsidRPr="00F762E1">
        <w:rPr>
          <w:rFonts w:ascii="Aptos Narrow" w:hAnsi="Aptos Narrow"/>
        </w:rPr>
        <w:t xml:space="preserve">Dr. Mohan Yang is an assistant professor of </w:t>
      </w:r>
      <w:r w:rsidR="00D81EAE" w:rsidRPr="00F762E1">
        <w:rPr>
          <w:rFonts w:ascii="Aptos Narrow" w:hAnsi="Aptos Narrow"/>
        </w:rPr>
        <w:t xml:space="preserve">Human Resource Development at Texas A&amp;M University and a former assistant professor </w:t>
      </w:r>
      <w:r w:rsidRPr="00F762E1">
        <w:rPr>
          <w:rFonts w:ascii="Aptos Narrow" w:hAnsi="Aptos Narrow"/>
        </w:rPr>
        <w:t xml:space="preserve">in the Department of Educational Foundations and Leadership at ODU. </w:t>
      </w:r>
      <w:r w:rsidR="006E38A6" w:rsidRPr="00F762E1">
        <w:rPr>
          <w:rFonts w:ascii="Aptos Narrow" w:hAnsi="Aptos Narrow"/>
        </w:rPr>
        <w:t>Dr. Tian Luo is a professor of the Instructional Design and Technology program in the department of STEM and Professional Studies at ODU.</w:t>
      </w:r>
      <w:r w:rsidR="00D81EAE" w:rsidRPr="00F762E1">
        <w:rPr>
          <w:rFonts w:ascii="Aptos Narrow" w:hAnsi="Aptos Narrow"/>
        </w:rPr>
        <w:t xml:space="preserve"> </w:t>
      </w:r>
      <w:r w:rsidR="00C0085F" w:rsidRPr="00F762E1">
        <w:rPr>
          <w:rFonts w:ascii="Aptos Narrow" w:hAnsi="Aptos Narrow"/>
        </w:rPr>
        <w:t xml:space="preserve">Dr. </w:t>
      </w:r>
      <w:r w:rsidR="003F60DF" w:rsidRPr="00F762E1">
        <w:rPr>
          <w:rFonts w:ascii="Aptos Narrow" w:hAnsi="Aptos Narrow"/>
        </w:rPr>
        <w:t xml:space="preserve">Kristin Herman is </w:t>
      </w:r>
      <w:r w:rsidR="005C27C8" w:rsidRPr="00F762E1">
        <w:rPr>
          <w:rFonts w:ascii="Aptos Narrow" w:hAnsi="Aptos Narrow"/>
        </w:rPr>
        <w:t>currently the Assistant Director of Teaching and Learning for Centennial School District in Warminster, PA and an ODU graduate. Belle</w:t>
      </w:r>
      <w:r w:rsidRPr="00F762E1">
        <w:rPr>
          <w:rFonts w:ascii="Aptos Narrow" w:hAnsi="Aptos Narrow"/>
        </w:rPr>
        <w:t xml:space="preserve"> </w:t>
      </w:r>
      <w:r w:rsidR="005C27C8" w:rsidRPr="00F762E1">
        <w:rPr>
          <w:rFonts w:ascii="Aptos Narrow" w:hAnsi="Aptos Narrow"/>
        </w:rPr>
        <w:t>Li</w:t>
      </w:r>
      <w:r w:rsidRPr="00F762E1">
        <w:rPr>
          <w:rFonts w:ascii="Aptos Narrow" w:hAnsi="Aptos Narrow"/>
        </w:rPr>
        <w:t xml:space="preserve"> is a PhD candidate </w:t>
      </w:r>
      <w:r w:rsidR="00852AEA" w:rsidRPr="00F762E1">
        <w:rPr>
          <w:rFonts w:ascii="Aptos Narrow" w:hAnsi="Aptos Narrow"/>
        </w:rPr>
        <w:t>in Purdue University's Learning Design and Technology program.</w:t>
      </w:r>
      <w:r w:rsidRPr="00F762E1">
        <w:rPr>
          <w:rFonts w:ascii="Aptos Narrow" w:hAnsi="Aptos Narrow"/>
        </w:rPr>
        <w:t xml:space="preserve"> </w:t>
      </w:r>
      <w:r w:rsidR="002B3538" w:rsidRPr="00F762E1">
        <w:rPr>
          <w:rFonts w:ascii="Aptos Narrow" w:hAnsi="Aptos Narrow"/>
        </w:rPr>
        <w:t xml:space="preserve">Dr. Shanan Chappell Moots currently serves as Research Professor and Director for Research Analytics in </w:t>
      </w:r>
      <w:r w:rsidR="004C44F5" w:rsidRPr="00F762E1">
        <w:rPr>
          <w:rFonts w:ascii="Aptos Narrow" w:hAnsi="Aptos Narrow"/>
          <w:lang w:eastAsia="zh-CN"/>
        </w:rPr>
        <w:t>t</w:t>
      </w:r>
      <w:r w:rsidR="002B3538" w:rsidRPr="00F762E1">
        <w:rPr>
          <w:rFonts w:ascii="Aptos Narrow" w:hAnsi="Aptos Narrow"/>
        </w:rPr>
        <w:t xml:space="preserve">he Center for Educational Partnerships at ODU. </w:t>
      </w:r>
      <w:r w:rsidRPr="00F762E1">
        <w:rPr>
          <w:rFonts w:ascii="Aptos Narrow" w:hAnsi="Aptos Narrow"/>
        </w:rPr>
        <w:t xml:space="preserve">Dr. </w:t>
      </w:r>
      <w:r w:rsidR="00A634CB" w:rsidRPr="00F762E1">
        <w:rPr>
          <w:rFonts w:ascii="Aptos Narrow" w:hAnsi="Aptos Narrow"/>
        </w:rPr>
        <w:t>Noah Glaser is an assistant professor in the School of Information Science &amp; Learning Technologies, University of Missouri.</w:t>
      </w:r>
      <w:r w:rsidR="00C55E4C" w:rsidRPr="00F762E1">
        <w:rPr>
          <w:rFonts w:ascii="Aptos Narrow" w:hAnsi="Aptos Narrow"/>
        </w:rPr>
        <w:t xml:space="preserve"> Dr. Shiyan Jiang is an Associate Professor</w:t>
      </w:r>
      <w:r w:rsidR="00F5037F" w:rsidRPr="00F762E1">
        <w:rPr>
          <w:rFonts w:ascii="Aptos Narrow" w:hAnsi="Aptos Narrow"/>
        </w:rPr>
        <w:t xml:space="preserve"> at </w:t>
      </w:r>
      <w:r w:rsidR="002B3538" w:rsidRPr="00F762E1">
        <w:rPr>
          <w:rFonts w:ascii="Aptos Narrow" w:hAnsi="Aptos Narrow"/>
        </w:rPr>
        <w:t>the University</w:t>
      </w:r>
      <w:r w:rsidR="00F5037F" w:rsidRPr="00F762E1">
        <w:rPr>
          <w:rFonts w:ascii="Aptos Narrow" w:hAnsi="Aptos Narrow"/>
        </w:rPr>
        <w:t xml:space="preserve"> of </w:t>
      </w:r>
      <w:r w:rsidR="002B3538" w:rsidRPr="00F762E1">
        <w:rPr>
          <w:rFonts w:ascii="Aptos Narrow" w:hAnsi="Aptos Narrow"/>
        </w:rPr>
        <w:t>Pennsylvan</w:t>
      </w:r>
      <w:r w:rsidR="00F5037F" w:rsidRPr="00F762E1">
        <w:rPr>
          <w:rFonts w:ascii="Aptos Narrow" w:hAnsi="Aptos Narrow"/>
        </w:rPr>
        <w:t>ia.</w:t>
      </w:r>
    </w:p>
    <w:p w14:paraId="0E3B908B" w14:textId="5189321F" w:rsidR="005C188D" w:rsidRPr="00F762E1" w:rsidRDefault="005C188D" w:rsidP="005C188D">
      <w:pPr>
        <w:rPr>
          <w:rFonts w:ascii="Aptos Narrow" w:hAnsi="Aptos Narrow"/>
          <w:b/>
          <w:bCs/>
        </w:rPr>
      </w:pPr>
      <w:r w:rsidRPr="00F762E1">
        <w:rPr>
          <w:rFonts w:ascii="Aptos Narrow" w:hAnsi="Aptos Narrow"/>
          <w:b/>
          <w:bCs/>
        </w:rPr>
        <w:t xml:space="preserve">White Paper Author: </w:t>
      </w:r>
    </w:p>
    <w:p w14:paraId="6EDDFB78" w14:textId="35C859DE" w:rsidR="00D87755" w:rsidRPr="00F762E1" w:rsidRDefault="006C13F0" w:rsidP="007F547E">
      <w:pPr>
        <w:rPr>
          <w:rFonts w:ascii="Aptos Narrow" w:hAnsi="Aptos Narrow"/>
          <w:lang w:eastAsia="zh-CN"/>
        </w:rPr>
      </w:pPr>
      <w:r w:rsidRPr="00F762E1">
        <w:rPr>
          <w:rFonts w:ascii="Aptos Narrow" w:hAnsi="Aptos Narrow"/>
          <w:lang w:eastAsia="zh-CN"/>
        </w:rPr>
        <w:t>Dr. Tian Luo</w:t>
      </w:r>
    </w:p>
    <w:p w14:paraId="14CA1F95" w14:textId="32512AA6" w:rsidR="00310C12" w:rsidRPr="00F762E1" w:rsidRDefault="00310C12" w:rsidP="007F547E">
      <w:pPr>
        <w:rPr>
          <w:rFonts w:ascii="Aptos Narrow" w:hAnsi="Aptos Narrow"/>
          <w:b/>
          <w:bCs/>
        </w:rPr>
      </w:pPr>
      <w:r w:rsidRPr="00F762E1">
        <w:rPr>
          <w:rFonts w:ascii="Aptos Narrow" w:hAnsi="Aptos Narrow"/>
          <w:b/>
          <w:bCs/>
        </w:rPr>
        <w:t>Overview</w:t>
      </w:r>
    </w:p>
    <w:p w14:paraId="51C2F7A6" w14:textId="7805F391" w:rsidR="001B3856" w:rsidRPr="00F762E1" w:rsidRDefault="001B3856" w:rsidP="007F547E">
      <w:pPr>
        <w:rPr>
          <w:rFonts w:ascii="Aptos Narrow" w:hAnsi="Aptos Narrow"/>
        </w:rPr>
      </w:pPr>
      <w:r w:rsidRPr="00F762E1">
        <w:rPr>
          <w:rFonts w:ascii="Aptos Narrow" w:hAnsi="Aptos Narrow"/>
        </w:rPr>
        <w:t>Generative Artificial Intelligence (GenAI) is rapidly reshaping teaching and learning in higher education by offering new opportunities to personalize learning experiences. As increasing numbers of nontraditional learners enter higher education, GenAI presents both promising possibilities for supporting diverse learning needs and</w:t>
      </w:r>
      <w:r w:rsidR="00484E84" w:rsidRPr="00F762E1">
        <w:rPr>
          <w:rFonts w:ascii="Aptos Narrow" w:hAnsi="Aptos Narrow"/>
        </w:rPr>
        <w:t xml:space="preserve"> </w:t>
      </w:r>
      <w:r w:rsidRPr="00F762E1">
        <w:rPr>
          <w:rFonts w:ascii="Aptos Narrow" w:hAnsi="Aptos Narrow"/>
        </w:rPr>
        <w:t>new challenges</w:t>
      </w:r>
      <w:r w:rsidR="008D0AD1" w:rsidRPr="00F762E1">
        <w:rPr>
          <w:rFonts w:ascii="Aptos Narrow" w:hAnsi="Aptos Narrow"/>
        </w:rPr>
        <w:t>, esp</w:t>
      </w:r>
      <w:r w:rsidR="00CC1B7D" w:rsidRPr="00F762E1">
        <w:rPr>
          <w:rFonts w:ascii="Aptos Narrow" w:hAnsi="Aptos Narrow"/>
        </w:rPr>
        <w:t>e</w:t>
      </w:r>
      <w:r w:rsidR="008D0AD1" w:rsidRPr="00F762E1">
        <w:rPr>
          <w:rFonts w:ascii="Aptos Narrow" w:hAnsi="Aptos Narrow"/>
        </w:rPr>
        <w:t>cially</w:t>
      </w:r>
      <w:r w:rsidRPr="00F762E1">
        <w:rPr>
          <w:rFonts w:ascii="Aptos Narrow" w:hAnsi="Aptos Narrow"/>
        </w:rPr>
        <w:t xml:space="preserve"> r</w:t>
      </w:r>
      <w:r w:rsidR="00C204DC" w:rsidRPr="00F762E1">
        <w:rPr>
          <w:rFonts w:ascii="Aptos Narrow" w:hAnsi="Aptos Narrow"/>
        </w:rPr>
        <w:t xml:space="preserve">egarding </w:t>
      </w:r>
      <w:r w:rsidRPr="00F762E1">
        <w:rPr>
          <w:rFonts w:ascii="Aptos Narrow" w:hAnsi="Aptos Narrow"/>
        </w:rPr>
        <w:t xml:space="preserve">students’ ownership of learning. This </w:t>
      </w:r>
      <w:r w:rsidR="00994DE8" w:rsidRPr="00F762E1">
        <w:rPr>
          <w:rFonts w:ascii="Aptos Narrow" w:hAnsi="Aptos Narrow"/>
        </w:rPr>
        <w:t xml:space="preserve">mixed-method </w:t>
      </w:r>
      <w:r w:rsidRPr="00F762E1">
        <w:rPr>
          <w:rFonts w:ascii="Aptos Narrow" w:hAnsi="Aptos Narrow"/>
        </w:rPr>
        <w:t xml:space="preserve">multiple-case study examines how </w:t>
      </w:r>
      <w:r w:rsidR="00416531" w:rsidRPr="00F762E1">
        <w:rPr>
          <w:rFonts w:ascii="Aptos Narrow" w:hAnsi="Aptos Narrow"/>
        </w:rPr>
        <w:t xml:space="preserve">non-traditional online </w:t>
      </w:r>
      <w:r w:rsidRPr="00F762E1">
        <w:rPr>
          <w:rFonts w:ascii="Aptos Narrow" w:hAnsi="Aptos Narrow"/>
        </w:rPr>
        <w:t>students used ChatGPT within and beyond their courses, the challenges they perceived, and how they understood GenAI’s role in promoting educational equity from their own perspectives.</w:t>
      </w:r>
      <w:r w:rsidR="00416531" w:rsidRPr="00F762E1">
        <w:rPr>
          <w:rFonts w:ascii="Aptos Narrow" w:hAnsi="Aptos Narrow"/>
        </w:rPr>
        <w:t xml:space="preserve"> </w:t>
      </w:r>
    </w:p>
    <w:p w14:paraId="710DE1A3" w14:textId="6B02494D" w:rsidR="00310C12" w:rsidRPr="00F762E1" w:rsidRDefault="00310C12" w:rsidP="007F547E">
      <w:pPr>
        <w:rPr>
          <w:rFonts w:ascii="Aptos Narrow" w:hAnsi="Aptos Narrow"/>
          <w:b/>
          <w:bCs/>
        </w:rPr>
      </w:pPr>
      <w:r w:rsidRPr="00F762E1">
        <w:rPr>
          <w:rFonts w:ascii="Aptos Narrow" w:hAnsi="Aptos Narrow"/>
          <w:b/>
          <w:bCs/>
        </w:rPr>
        <w:t>Purpose of the Research</w:t>
      </w:r>
    </w:p>
    <w:p w14:paraId="4D181C54" w14:textId="77777777" w:rsidR="00DD0A21" w:rsidRPr="00F762E1" w:rsidRDefault="00D75763" w:rsidP="00DD0A21">
      <w:pPr>
        <w:pStyle w:val="Pa10"/>
        <w:spacing w:before="40" w:after="40"/>
        <w:jc w:val="both"/>
        <w:rPr>
          <w:rFonts w:ascii="Aptos Narrow" w:hAnsi="Aptos Narrow" w:cstheme="minorBidi"/>
          <w:kern w:val="2"/>
          <w:sz w:val="22"/>
          <w:szCs w:val="22"/>
        </w:rPr>
      </w:pPr>
      <w:r w:rsidRPr="00F762E1">
        <w:rPr>
          <w:rFonts w:ascii="Aptos Narrow" w:hAnsi="Aptos Narrow" w:cstheme="minorBidi"/>
          <w:kern w:val="2"/>
          <w:sz w:val="22"/>
          <w:szCs w:val="22"/>
        </w:rPr>
        <w:t xml:space="preserve">The number of non-traditional students entering higher education is ever-growing. </w:t>
      </w:r>
      <w:r w:rsidR="00DD0A21" w:rsidRPr="00F762E1">
        <w:rPr>
          <w:rFonts w:ascii="Aptos Narrow" w:hAnsi="Aptos Narrow" w:cstheme="minorBidi"/>
          <w:kern w:val="2"/>
          <w:sz w:val="22"/>
          <w:szCs w:val="22"/>
        </w:rPr>
        <w:t>Nontraditional</w:t>
      </w:r>
    </w:p>
    <w:p w14:paraId="09491D03" w14:textId="09561F06" w:rsidR="007F0AA5" w:rsidRPr="00F762E1" w:rsidRDefault="00DD0A21" w:rsidP="00DD0A21">
      <w:pPr>
        <w:pStyle w:val="Pa10"/>
        <w:spacing w:before="40" w:after="40"/>
        <w:jc w:val="both"/>
        <w:rPr>
          <w:rFonts w:ascii="Aptos Narrow" w:hAnsi="Aptos Narrow" w:cstheme="minorBidi"/>
          <w:kern w:val="2"/>
          <w:sz w:val="22"/>
          <w:szCs w:val="22"/>
        </w:rPr>
      </w:pPr>
      <w:r w:rsidRPr="00F762E1">
        <w:rPr>
          <w:rFonts w:ascii="Aptos Narrow" w:hAnsi="Aptos Narrow" w:cstheme="minorBidi"/>
          <w:kern w:val="2"/>
          <w:sz w:val="22"/>
          <w:szCs w:val="22"/>
        </w:rPr>
        <w:t xml:space="preserve">students, as compared to their counterparts, are typically defined as those students who are older than 24, work full-time, financially independent, and/or with families and children. Many traditional students </w:t>
      </w:r>
      <w:r w:rsidR="006F6B48" w:rsidRPr="00F762E1">
        <w:rPr>
          <w:rFonts w:ascii="Aptos Narrow" w:hAnsi="Aptos Narrow" w:cstheme="minorBidi"/>
          <w:kern w:val="2"/>
          <w:sz w:val="22"/>
          <w:szCs w:val="22"/>
        </w:rPr>
        <w:t>favor</w:t>
      </w:r>
      <w:r w:rsidRPr="00F762E1">
        <w:rPr>
          <w:rFonts w:ascii="Aptos Narrow" w:hAnsi="Aptos Narrow" w:cstheme="minorBidi"/>
          <w:kern w:val="2"/>
          <w:sz w:val="22"/>
          <w:szCs w:val="22"/>
        </w:rPr>
        <w:t xml:space="preserve"> online learning </w:t>
      </w:r>
      <w:proofErr w:type="gramStart"/>
      <w:r w:rsidRPr="00F762E1">
        <w:rPr>
          <w:rFonts w:ascii="Aptos Narrow" w:hAnsi="Aptos Narrow" w:cstheme="minorBidi"/>
          <w:kern w:val="2"/>
          <w:sz w:val="22"/>
          <w:szCs w:val="22"/>
        </w:rPr>
        <w:t>as a result of</w:t>
      </w:r>
      <w:proofErr w:type="gramEnd"/>
      <w:r w:rsidRPr="00F762E1">
        <w:rPr>
          <w:rFonts w:ascii="Aptos Narrow" w:hAnsi="Aptos Narrow" w:cstheme="minorBidi"/>
          <w:kern w:val="2"/>
          <w:sz w:val="22"/>
          <w:szCs w:val="22"/>
        </w:rPr>
        <w:t xml:space="preserve"> these added responsibilities and obligations</w:t>
      </w:r>
      <w:r w:rsidR="006F6B48" w:rsidRPr="00F762E1">
        <w:rPr>
          <w:rFonts w:ascii="Aptos Narrow" w:hAnsi="Aptos Narrow" w:cstheme="minorBidi"/>
          <w:kern w:val="2"/>
          <w:sz w:val="22"/>
          <w:szCs w:val="22"/>
        </w:rPr>
        <w:t xml:space="preserve"> compared to their traditional </w:t>
      </w:r>
      <w:r w:rsidR="006F6B48" w:rsidRPr="00F762E1">
        <w:rPr>
          <w:rFonts w:ascii="Aptos Narrow" w:hAnsi="Aptos Narrow" w:cstheme="minorBidi"/>
          <w:kern w:val="2"/>
          <w:sz w:val="22"/>
          <w:szCs w:val="22"/>
        </w:rPr>
        <w:lastRenderedPageBreak/>
        <w:t>counterparts.</w:t>
      </w:r>
      <w:r w:rsidRPr="00F762E1">
        <w:rPr>
          <w:rFonts w:ascii="Aptos Narrow" w:hAnsi="Aptos Narrow" w:cstheme="minorBidi"/>
          <w:kern w:val="2"/>
          <w:sz w:val="22"/>
          <w:szCs w:val="22"/>
        </w:rPr>
        <w:t xml:space="preserve"> </w:t>
      </w:r>
      <w:r w:rsidR="0090180C" w:rsidRPr="00F762E1">
        <w:rPr>
          <w:rFonts w:ascii="Aptos Narrow" w:hAnsi="Aptos Narrow" w:cstheme="minorBidi"/>
          <w:kern w:val="2"/>
          <w:sz w:val="22"/>
          <w:szCs w:val="22"/>
        </w:rPr>
        <w:t xml:space="preserve">The purpose of this study was to explore non-traditional </w:t>
      </w:r>
      <w:r w:rsidR="00F31F39" w:rsidRPr="00F762E1">
        <w:rPr>
          <w:rFonts w:ascii="Aptos Narrow" w:hAnsi="Aptos Narrow" w:cstheme="minorBidi"/>
          <w:kern w:val="2"/>
          <w:sz w:val="22"/>
          <w:szCs w:val="22"/>
        </w:rPr>
        <w:t xml:space="preserve">online </w:t>
      </w:r>
      <w:proofErr w:type="gramStart"/>
      <w:r w:rsidR="0090180C" w:rsidRPr="00F762E1">
        <w:rPr>
          <w:rFonts w:ascii="Aptos Narrow" w:hAnsi="Aptos Narrow" w:cstheme="minorBidi"/>
          <w:kern w:val="2"/>
          <w:sz w:val="22"/>
          <w:szCs w:val="22"/>
        </w:rPr>
        <w:t>students’</w:t>
      </w:r>
      <w:proofErr w:type="gramEnd"/>
      <w:r w:rsidR="0090180C" w:rsidRPr="00F762E1">
        <w:rPr>
          <w:rFonts w:ascii="Aptos Narrow" w:hAnsi="Aptos Narrow" w:cstheme="minorBidi"/>
          <w:kern w:val="2"/>
          <w:sz w:val="22"/>
          <w:szCs w:val="22"/>
        </w:rPr>
        <w:t xml:space="preserve"> perceived ownership of learning when using ChatGPT for instructional design</w:t>
      </w:r>
      <w:r w:rsidR="00E72559" w:rsidRPr="00F762E1">
        <w:rPr>
          <w:rFonts w:ascii="Aptos Narrow" w:hAnsi="Aptos Narrow" w:cstheme="minorBidi"/>
          <w:kern w:val="2"/>
          <w:sz w:val="22"/>
          <w:szCs w:val="22"/>
        </w:rPr>
        <w:t>. The study</w:t>
      </w:r>
      <w:r w:rsidR="0090180C" w:rsidRPr="00F762E1">
        <w:rPr>
          <w:rFonts w:ascii="Aptos Narrow" w:hAnsi="Aptos Narrow" w:cstheme="minorBidi"/>
          <w:kern w:val="2"/>
          <w:sz w:val="22"/>
          <w:szCs w:val="22"/>
        </w:rPr>
        <w:t xml:space="preserve"> adopt</w:t>
      </w:r>
      <w:r w:rsidR="00E72559" w:rsidRPr="00F762E1">
        <w:rPr>
          <w:rFonts w:ascii="Aptos Narrow" w:hAnsi="Aptos Narrow" w:cstheme="minorBidi"/>
          <w:kern w:val="2"/>
          <w:sz w:val="22"/>
          <w:szCs w:val="22"/>
        </w:rPr>
        <w:t>s</w:t>
      </w:r>
      <w:r w:rsidR="0090180C" w:rsidRPr="00F762E1">
        <w:rPr>
          <w:rFonts w:ascii="Aptos Narrow" w:hAnsi="Aptos Narrow" w:cstheme="minorBidi"/>
          <w:kern w:val="2"/>
          <w:sz w:val="22"/>
          <w:szCs w:val="22"/>
        </w:rPr>
        <w:t xml:space="preserve"> the psychological ownership construct—which consists of self-efficacy, accountability, belongingness, and self-identity—as the theoretical framework. Additionally, the study aimed to explore how students utilized ChatGPT within and outside their courses, their perceived challenges, and the tool's role in promoting educational equity.</w:t>
      </w:r>
      <w:r w:rsidR="0090180C" w:rsidRPr="00F762E1">
        <w:rPr>
          <w:rFonts w:ascii="Aptos Narrow" w:hAnsi="Aptos Narrow" w:cstheme="minorBidi"/>
          <w:kern w:val="2"/>
          <w:sz w:val="22"/>
          <w:szCs w:val="22"/>
          <w:lang w:eastAsia="zh-CN"/>
        </w:rPr>
        <w:t xml:space="preserve"> </w:t>
      </w:r>
      <w:r w:rsidR="00535EC5" w:rsidRPr="00F762E1">
        <w:rPr>
          <w:rFonts w:ascii="Aptos Narrow" w:hAnsi="Aptos Narrow" w:cstheme="minorBidi"/>
          <w:kern w:val="2"/>
          <w:sz w:val="22"/>
          <w:szCs w:val="22"/>
          <w:lang w:eastAsia="zh-CN"/>
        </w:rPr>
        <w:t xml:space="preserve"> </w:t>
      </w:r>
      <w:r w:rsidR="007F0AA5" w:rsidRPr="00F762E1">
        <w:rPr>
          <w:rFonts w:ascii="Aptos Narrow" w:hAnsi="Aptos Narrow" w:cstheme="minorBidi"/>
          <w:kern w:val="2"/>
          <w:sz w:val="22"/>
          <w:szCs w:val="22"/>
        </w:rPr>
        <w:t>The research questions</w:t>
      </w:r>
      <w:r w:rsidR="00AD0000" w:rsidRPr="00F762E1">
        <w:rPr>
          <w:rFonts w:ascii="Aptos Narrow" w:hAnsi="Aptos Narrow" w:cstheme="minorBidi"/>
          <w:kern w:val="2"/>
          <w:sz w:val="22"/>
          <w:szCs w:val="22"/>
          <w:lang w:eastAsia="zh-CN"/>
        </w:rPr>
        <w:t xml:space="preserve"> </w:t>
      </w:r>
      <w:r w:rsidR="00E72559" w:rsidRPr="00F762E1">
        <w:rPr>
          <w:rFonts w:ascii="Aptos Narrow" w:hAnsi="Aptos Narrow" w:cstheme="minorBidi"/>
          <w:kern w:val="2"/>
          <w:sz w:val="22"/>
          <w:szCs w:val="22"/>
          <w:lang w:eastAsia="zh-CN"/>
        </w:rPr>
        <w:t>that guide</w:t>
      </w:r>
      <w:r w:rsidR="007F0AA5" w:rsidRPr="00F762E1">
        <w:rPr>
          <w:rFonts w:ascii="Aptos Narrow" w:hAnsi="Aptos Narrow" w:cstheme="minorBidi"/>
          <w:kern w:val="2"/>
          <w:sz w:val="22"/>
          <w:szCs w:val="22"/>
        </w:rPr>
        <w:t xml:space="preserve"> </w:t>
      </w:r>
      <w:r w:rsidR="00994DE8" w:rsidRPr="00F762E1">
        <w:rPr>
          <w:rFonts w:ascii="Aptos Narrow" w:hAnsi="Aptos Narrow" w:cstheme="minorBidi"/>
          <w:kern w:val="2"/>
          <w:sz w:val="22"/>
          <w:szCs w:val="22"/>
          <w:lang w:eastAsia="zh-CN"/>
        </w:rPr>
        <w:t xml:space="preserve">this </w:t>
      </w:r>
      <w:r w:rsidR="007F0AA5" w:rsidRPr="00F762E1">
        <w:rPr>
          <w:rFonts w:ascii="Aptos Narrow" w:hAnsi="Aptos Narrow" w:cstheme="minorBidi"/>
          <w:kern w:val="2"/>
          <w:sz w:val="22"/>
          <w:szCs w:val="22"/>
        </w:rPr>
        <w:t>study are:</w:t>
      </w:r>
    </w:p>
    <w:p w14:paraId="3E374556" w14:textId="1FCFFDD2" w:rsidR="008F6D62" w:rsidRPr="00F762E1" w:rsidRDefault="008F6D62" w:rsidP="007F0AA5">
      <w:pPr>
        <w:pStyle w:val="Pa10"/>
        <w:spacing w:before="40" w:after="40"/>
        <w:ind w:left="320" w:hanging="320"/>
        <w:jc w:val="both"/>
        <w:rPr>
          <w:rFonts w:ascii="Aptos Narrow" w:hAnsi="Aptos Narrow" w:cstheme="minorBidi"/>
          <w:kern w:val="2"/>
          <w:sz w:val="22"/>
          <w:szCs w:val="22"/>
        </w:rPr>
      </w:pPr>
      <w:r w:rsidRPr="00F762E1">
        <w:rPr>
          <w:rFonts w:ascii="Aptos Narrow" w:hAnsi="Aptos Narrow" w:cstheme="minorBidi"/>
          <w:kern w:val="2"/>
          <w:sz w:val="22"/>
          <w:szCs w:val="22"/>
        </w:rPr>
        <w:t xml:space="preserve">1. How do students perceive their ownership of learning while using ChatGPT to aid in their design process? </w:t>
      </w:r>
    </w:p>
    <w:p w14:paraId="696BD5A6" w14:textId="77777777" w:rsidR="008F6D62" w:rsidRPr="00F762E1" w:rsidRDefault="008F6D62" w:rsidP="008F6D62">
      <w:pPr>
        <w:pStyle w:val="Pa10"/>
        <w:spacing w:before="40" w:after="40"/>
        <w:ind w:left="320" w:hanging="320"/>
        <w:jc w:val="both"/>
        <w:rPr>
          <w:rFonts w:ascii="Aptos Narrow" w:hAnsi="Aptos Narrow" w:cstheme="minorBidi"/>
          <w:kern w:val="2"/>
          <w:sz w:val="22"/>
          <w:szCs w:val="22"/>
        </w:rPr>
      </w:pPr>
      <w:r w:rsidRPr="00F762E1">
        <w:rPr>
          <w:rFonts w:ascii="Aptos Narrow" w:hAnsi="Aptos Narrow" w:cstheme="minorBidi"/>
          <w:kern w:val="2"/>
          <w:sz w:val="22"/>
          <w:szCs w:val="22"/>
        </w:rPr>
        <w:t xml:space="preserve">2. How did students use ChatGPT within and outside their design process? </w:t>
      </w:r>
    </w:p>
    <w:p w14:paraId="68F0203D" w14:textId="77777777" w:rsidR="008F6D62" w:rsidRPr="00F762E1" w:rsidRDefault="008F6D62" w:rsidP="008F6D62">
      <w:pPr>
        <w:pStyle w:val="Pa10"/>
        <w:spacing w:before="40" w:after="40"/>
        <w:ind w:left="320" w:hanging="320"/>
        <w:jc w:val="both"/>
        <w:rPr>
          <w:rFonts w:ascii="Aptos Narrow" w:hAnsi="Aptos Narrow" w:cstheme="minorBidi"/>
          <w:kern w:val="2"/>
          <w:sz w:val="22"/>
          <w:szCs w:val="22"/>
        </w:rPr>
      </w:pPr>
      <w:r w:rsidRPr="00F762E1">
        <w:rPr>
          <w:rFonts w:ascii="Aptos Narrow" w:hAnsi="Aptos Narrow" w:cstheme="minorBidi"/>
          <w:kern w:val="2"/>
          <w:sz w:val="22"/>
          <w:szCs w:val="22"/>
        </w:rPr>
        <w:t xml:space="preserve">3. How did students perceive the challenges of using ChatGPT in the design process? </w:t>
      </w:r>
    </w:p>
    <w:p w14:paraId="567D7F15" w14:textId="47F0F18F" w:rsidR="003612F6" w:rsidRPr="00F762E1" w:rsidRDefault="008F6D62" w:rsidP="008F6D62">
      <w:pPr>
        <w:rPr>
          <w:rFonts w:ascii="Aptos Narrow" w:hAnsi="Aptos Narrow"/>
        </w:rPr>
      </w:pPr>
      <w:r w:rsidRPr="00F762E1">
        <w:rPr>
          <w:rFonts w:ascii="Aptos Narrow" w:hAnsi="Aptos Narrow"/>
        </w:rPr>
        <w:t>4. What is ChatGPT’s role in contributing to a more equitable and inclusive learning environment for non-traditional students?</w:t>
      </w:r>
    </w:p>
    <w:p w14:paraId="225E8CE3" w14:textId="35A8D590" w:rsidR="003612F6" w:rsidRPr="00F762E1" w:rsidRDefault="003612F6" w:rsidP="007F547E">
      <w:pPr>
        <w:rPr>
          <w:rFonts w:ascii="Aptos Narrow" w:hAnsi="Aptos Narrow"/>
          <w:b/>
          <w:bCs/>
        </w:rPr>
      </w:pPr>
      <w:r w:rsidRPr="00F762E1">
        <w:rPr>
          <w:rFonts w:ascii="Aptos Narrow" w:hAnsi="Aptos Narrow"/>
          <w:b/>
          <w:bCs/>
        </w:rPr>
        <w:t>Method</w:t>
      </w:r>
    </w:p>
    <w:p w14:paraId="60CA8B5C" w14:textId="0D09E5B0" w:rsidR="002376C2" w:rsidRPr="00F762E1" w:rsidRDefault="00AC2105" w:rsidP="007F547E">
      <w:pPr>
        <w:rPr>
          <w:rFonts w:ascii="Aptos Narrow" w:hAnsi="Aptos Narrow"/>
          <w:lang w:eastAsia="zh-CN"/>
        </w:rPr>
      </w:pPr>
      <w:r w:rsidRPr="00F762E1">
        <w:rPr>
          <w:rFonts w:ascii="Aptos Narrow" w:hAnsi="Aptos Narrow"/>
        </w:rPr>
        <w:t>The study employed a mixed-methods multiple-case study design, utilizing a sequential explanatory approach that first collected quantitative data before moving to qualitative data gathering to provide deeper insights.</w:t>
      </w:r>
      <w:r w:rsidR="00862BB4" w:rsidRPr="00F762E1">
        <w:rPr>
          <w:rFonts w:ascii="Aptos Narrow" w:hAnsi="Aptos Narrow"/>
        </w:rPr>
        <w:t xml:space="preserve"> Approximately</w:t>
      </w:r>
      <w:r w:rsidRPr="00F762E1">
        <w:rPr>
          <w:rFonts w:ascii="Aptos Narrow" w:hAnsi="Aptos Narrow"/>
        </w:rPr>
        <w:t xml:space="preserve"> </w:t>
      </w:r>
      <w:r w:rsidR="00862BB4" w:rsidRPr="00F762E1">
        <w:rPr>
          <w:rFonts w:ascii="Aptos Narrow" w:hAnsi="Aptos Narrow"/>
        </w:rPr>
        <w:t>93.5%</w:t>
      </w:r>
      <w:r w:rsidR="005A122E" w:rsidRPr="00F762E1">
        <w:rPr>
          <w:rFonts w:ascii="Aptos Narrow" w:hAnsi="Aptos Narrow"/>
        </w:rPr>
        <w:t xml:space="preserve"> of</w:t>
      </w:r>
      <w:r w:rsidR="00862BB4" w:rsidRPr="00F762E1">
        <w:rPr>
          <w:rFonts w:ascii="Aptos Narrow" w:hAnsi="Aptos Narrow"/>
        </w:rPr>
        <w:t xml:space="preserve"> </w:t>
      </w:r>
      <w:r w:rsidR="00904AB3" w:rsidRPr="00F762E1">
        <w:rPr>
          <w:rFonts w:ascii="Aptos Narrow" w:hAnsi="Aptos Narrow"/>
        </w:rPr>
        <w:t xml:space="preserve">participants </w:t>
      </w:r>
      <w:r w:rsidR="00862BB4" w:rsidRPr="00F762E1">
        <w:rPr>
          <w:rFonts w:ascii="Aptos Narrow" w:hAnsi="Aptos Narrow"/>
        </w:rPr>
        <w:t xml:space="preserve">in this study were non-traditional students. </w:t>
      </w:r>
      <w:r w:rsidRPr="00F762E1">
        <w:rPr>
          <w:rFonts w:ascii="Aptos Narrow" w:hAnsi="Aptos Narrow"/>
        </w:rPr>
        <w:t>Data collection included a quantitative post-course survey administered via Qualtrics, along with qualitative data from semi-structured interviews, focus groups, and course artifacts such as ChatGPT chat history and designed product</w:t>
      </w:r>
      <w:r w:rsidR="005A122E" w:rsidRPr="00F762E1">
        <w:rPr>
          <w:rFonts w:ascii="Aptos Narrow" w:hAnsi="Aptos Narrow"/>
        </w:rPr>
        <w:t>s</w:t>
      </w:r>
      <w:r w:rsidRPr="00F762E1">
        <w:rPr>
          <w:rFonts w:ascii="Aptos Narrow" w:hAnsi="Aptos Narrow"/>
        </w:rPr>
        <w:t>. Data analysis involved descriptive statistics and independent samples t-tests for the survey responses, and thematic analysis for qualitative data</w:t>
      </w:r>
      <w:r w:rsidR="00B208D0" w:rsidRPr="00F762E1">
        <w:rPr>
          <w:rFonts w:ascii="Aptos Narrow" w:hAnsi="Aptos Narrow"/>
          <w:lang w:eastAsia="zh-CN"/>
        </w:rPr>
        <w:t xml:space="preserve"> (See Table 1)</w:t>
      </w:r>
      <w:r w:rsidR="00E34765" w:rsidRPr="00F762E1">
        <w:rPr>
          <w:rFonts w:ascii="Aptos Narrow" w:hAnsi="Aptos Narrow"/>
        </w:rPr>
        <w:t>.</w:t>
      </w:r>
      <w:r w:rsidR="00B7113C" w:rsidRPr="00F762E1">
        <w:rPr>
          <w:rFonts w:ascii="Aptos Narrow" w:hAnsi="Aptos Narrow"/>
          <w:lang w:eastAsia="zh-CN"/>
        </w:rPr>
        <w:t xml:space="preserve"> </w:t>
      </w:r>
      <w:r w:rsidR="00661837" w:rsidRPr="00F762E1">
        <w:rPr>
          <w:rFonts w:ascii="Aptos Narrow" w:hAnsi="Aptos Narrow"/>
        </w:rPr>
        <w:t xml:space="preserve">Data were collected across five course-based cases </w:t>
      </w:r>
      <w:r w:rsidR="00EC39AD" w:rsidRPr="00F762E1">
        <w:rPr>
          <w:rFonts w:ascii="Aptos Narrow" w:hAnsi="Aptos Narrow"/>
        </w:rPr>
        <w:t>across academic levels and learner profiles to examine patterns in students’ experiences and perceptions.</w:t>
      </w:r>
      <w:r w:rsidR="00EC39AD" w:rsidRPr="00F762E1">
        <w:rPr>
          <w:rFonts w:ascii="Aptos Narrow" w:hAnsi="Aptos Narrow"/>
          <w:lang w:eastAsia="zh-CN"/>
        </w:rPr>
        <w:t xml:space="preserve"> </w:t>
      </w:r>
      <w:r w:rsidR="00661837" w:rsidRPr="00F762E1">
        <w:rPr>
          <w:rFonts w:ascii="Aptos Narrow" w:hAnsi="Aptos Narrow"/>
        </w:rPr>
        <w:t xml:space="preserve"> Case 1 included 21 beginning undergraduate students, while Case 2 consisted of 15 advanced undergraduate students. Graduate-level participation included three doctoral cohorts: Case 3 (8 first-year doctoral students), Case 4 (9 first-year doctoral students), and Case 5 (5 advanced doctoral students). </w:t>
      </w:r>
      <w:r w:rsidR="00B7113C" w:rsidRPr="00F762E1">
        <w:rPr>
          <w:rFonts w:ascii="Aptos Narrow" w:hAnsi="Aptos Narrow"/>
          <w:lang w:eastAsia="zh-CN"/>
        </w:rPr>
        <w:t xml:space="preserve">The study design can be found in Figure 1. </w:t>
      </w:r>
    </w:p>
    <w:p w14:paraId="6CBEC12C" w14:textId="7F0964BE" w:rsidR="00B208D0" w:rsidRPr="00B208D0" w:rsidRDefault="00B208D0" w:rsidP="00B208D0">
      <w:pPr>
        <w:rPr>
          <w:rFonts w:ascii="Aptos Narrow" w:hAnsi="Aptos Narrow"/>
          <w:lang w:eastAsia="zh-CN"/>
        </w:rPr>
      </w:pPr>
      <w:r w:rsidRPr="00F762E1">
        <w:rPr>
          <w:rFonts w:ascii="Aptos Narrow" w:hAnsi="Aptos Narrow"/>
          <w:i/>
          <w:iCs/>
          <w:lang w:eastAsia="zh-CN"/>
        </w:rPr>
        <w:t xml:space="preserve">Table 1. </w:t>
      </w:r>
      <w:r w:rsidRPr="00B208D0">
        <w:rPr>
          <w:rFonts w:ascii="Aptos Narrow" w:hAnsi="Aptos Narrow"/>
          <w:i/>
          <w:iCs/>
          <w:lang w:eastAsia="zh-CN"/>
        </w:rPr>
        <w:t>Code categories and selected codes. </w:t>
      </w:r>
      <w:r w:rsidR="00F762E1" w:rsidRPr="00F762E1">
        <w:rPr>
          <w:rFonts w:ascii="Aptos Narrow" w:hAnsi="Aptos Narrow"/>
          <w:lang w:eastAsia="zh-CN"/>
        </w:rPr>
        <w:t>(Yang et al.,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3100"/>
        <w:gridCol w:w="5190"/>
      </w:tblGrid>
      <w:tr w:rsidR="00B208D0" w:rsidRPr="00B208D0" w14:paraId="05DA918B" w14:textId="77777777" w:rsidTr="00631750">
        <w:trPr>
          <w:trHeight w:val="313"/>
          <w:jc w:val="center"/>
        </w:trPr>
        <w:tc>
          <w:tcPr>
            <w:tcW w:w="0" w:type="auto"/>
            <w:tcMar>
              <w:top w:w="100" w:type="dxa"/>
              <w:left w:w="100" w:type="dxa"/>
              <w:bottom w:w="100" w:type="dxa"/>
              <w:right w:w="100" w:type="dxa"/>
            </w:tcMar>
            <w:hideMark/>
          </w:tcPr>
          <w:p w14:paraId="6D05B688"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Cross-case categories</w:t>
            </w:r>
          </w:p>
        </w:tc>
        <w:tc>
          <w:tcPr>
            <w:tcW w:w="0" w:type="auto"/>
            <w:tcMar>
              <w:top w:w="100" w:type="dxa"/>
              <w:left w:w="100" w:type="dxa"/>
              <w:bottom w:w="100" w:type="dxa"/>
              <w:right w:w="100" w:type="dxa"/>
            </w:tcMar>
            <w:hideMark/>
          </w:tcPr>
          <w:p w14:paraId="0F3881DC"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Selected Codes</w:t>
            </w:r>
          </w:p>
        </w:tc>
      </w:tr>
      <w:tr w:rsidR="00B208D0" w:rsidRPr="00B208D0" w14:paraId="7471CE54" w14:textId="77777777" w:rsidTr="00631750">
        <w:trPr>
          <w:trHeight w:val="259"/>
          <w:jc w:val="center"/>
        </w:trPr>
        <w:tc>
          <w:tcPr>
            <w:tcW w:w="0" w:type="auto"/>
            <w:vMerge w:val="restart"/>
            <w:tcMar>
              <w:top w:w="100" w:type="dxa"/>
              <w:left w:w="100" w:type="dxa"/>
              <w:bottom w:w="100" w:type="dxa"/>
              <w:right w:w="100" w:type="dxa"/>
            </w:tcMar>
            <w:hideMark/>
          </w:tcPr>
          <w:p w14:paraId="2D0E32F3"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Accountability</w:t>
            </w:r>
          </w:p>
        </w:tc>
        <w:tc>
          <w:tcPr>
            <w:tcW w:w="0" w:type="auto"/>
            <w:tcMar>
              <w:top w:w="100" w:type="dxa"/>
              <w:left w:w="100" w:type="dxa"/>
              <w:bottom w:w="100" w:type="dxa"/>
              <w:right w:w="100" w:type="dxa"/>
            </w:tcMar>
            <w:hideMark/>
          </w:tcPr>
          <w:p w14:paraId="14C569A0"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Assumption of Responsibility for AI Output</w:t>
            </w:r>
          </w:p>
        </w:tc>
      </w:tr>
      <w:tr w:rsidR="00B208D0" w:rsidRPr="00B208D0" w14:paraId="19E1ACEC" w14:textId="77777777" w:rsidTr="00631750">
        <w:trPr>
          <w:trHeight w:val="260"/>
          <w:jc w:val="center"/>
        </w:trPr>
        <w:tc>
          <w:tcPr>
            <w:tcW w:w="0" w:type="auto"/>
            <w:vMerge/>
            <w:vAlign w:val="center"/>
            <w:hideMark/>
          </w:tcPr>
          <w:p w14:paraId="4D0556FD"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60E70618"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Control Over Final Submission</w:t>
            </w:r>
          </w:p>
        </w:tc>
      </w:tr>
      <w:tr w:rsidR="00B208D0" w:rsidRPr="00B208D0" w14:paraId="4711C7DA" w14:textId="77777777" w:rsidTr="00631750">
        <w:trPr>
          <w:trHeight w:val="152"/>
          <w:jc w:val="center"/>
        </w:trPr>
        <w:tc>
          <w:tcPr>
            <w:tcW w:w="0" w:type="auto"/>
            <w:vMerge w:val="restart"/>
            <w:tcMar>
              <w:top w:w="100" w:type="dxa"/>
              <w:left w:w="100" w:type="dxa"/>
              <w:bottom w:w="100" w:type="dxa"/>
              <w:right w:w="100" w:type="dxa"/>
            </w:tcMar>
            <w:hideMark/>
          </w:tcPr>
          <w:p w14:paraId="01B3AA49"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Belongingness</w:t>
            </w:r>
          </w:p>
        </w:tc>
        <w:tc>
          <w:tcPr>
            <w:tcW w:w="0" w:type="auto"/>
            <w:tcMar>
              <w:top w:w="100" w:type="dxa"/>
              <w:left w:w="100" w:type="dxa"/>
              <w:bottom w:w="100" w:type="dxa"/>
              <w:right w:w="100" w:type="dxa"/>
            </w:tcMar>
            <w:hideMark/>
          </w:tcPr>
          <w:p w14:paraId="6498701C"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Authenticity of Ideas</w:t>
            </w:r>
          </w:p>
        </w:tc>
      </w:tr>
      <w:tr w:rsidR="00B208D0" w:rsidRPr="00B208D0" w14:paraId="766BBC20" w14:textId="77777777" w:rsidTr="00631750">
        <w:trPr>
          <w:trHeight w:val="179"/>
          <w:jc w:val="center"/>
        </w:trPr>
        <w:tc>
          <w:tcPr>
            <w:tcW w:w="0" w:type="auto"/>
            <w:vMerge/>
            <w:vAlign w:val="center"/>
            <w:hideMark/>
          </w:tcPr>
          <w:p w14:paraId="102CD356"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22B43541"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Assertion of ownership</w:t>
            </w:r>
          </w:p>
        </w:tc>
      </w:tr>
      <w:tr w:rsidR="00B208D0" w:rsidRPr="00B208D0" w14:paraId="6050A938" w14:textId="77777777" w:rsidTr="00631750">
        <w:trPr>
          <w:trHeight w:val="180"/>
          <w:jc w:val="center"/>
        </w:trPr>
        <w:tc>
          <w:tcPr>
            <w:tcW w:w="0" w:type="auto"/>
            <w:vMerge/>
            <w:vAlign w:val="center"/>
            <w:hideMark/>
          </w:tcPr>
          <w:p w14:paraId="1E1D1CB3"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5DE2C948"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AI as a thought partner</w:t>
            </w:r>
          </w:p>
        </w:tc>
      </w:tr>
      <w:tr w:rsidR="00B208D0" w:rsidRPr="00B208D0" w14:paraId="03D9B131" w14:textId="77777777" w:rsidTr="00631750">
        <w:trPr>
          <w:trHeight w:val="125"/>
          <w:jc w:val="center"/>
        </w:trPr>
        <w:tc>
          <w:tcPr>
            <w:tcW w:w="0" w:type="auto"/>
            <w:vMerge w:val="restart"/>
            <w:tcMar>
              <w:top w:w="100" w:type="dxa"/>
              <w:left w:w="100" w:type="dxa"/>
              <w:bottom w:w="100" w:type="dxa"/>
              <w:right w:w="100" w:type="dxa"/>
            </w:tcMar>
            <w:hideMark/>
          </w:tcPr>
          <w:p w14:paraId="1178AFEC"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Self-Efficacy and Confidence</w:t>
            </w:r>
          </w:p>
        </w:tc>
        <w:tc>
          <w:tcPr>
            <w:tcW w:w="0" w:type="auto"/>
            <w:tcMar>
              <w:top w:w="100" w:type="dxa"/>
              <w:left w:w="100" w:type="dxa"/>
              <w:bottom w:w="100" w:type="dxa"/>
              <w:right w:w="100" w:type="dxa"/>
            </w:tcMar>
            <w:hideMark/>
          </w:tcPr>
          <w:p w14:paraId="5E01BDC2"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Confidence in Execution </w:t>
            </w:r>
          </w:p>
        </w:tc>
      </w:tr>
      <w:tr w:rsidR="00B208D0" w:rsidRPr="00B208D0" w14:paraId="0EBBF99D" w14:textId="77777777" w:rsidTr="00631750">
        <w:trPr>
          <w:trHeight w:val="134"/>
          <w:jc w:val="center"/>
        </w:trPr>
        <w:tc>
          <w:tcPr>
            <w:tcW w:w="0" w:type="auto"/>
            <w:vMerge/>
            <w:vAlign w:val="center"/>
            <w:hideMark/>
          </w:tcPr>
          <w:p w14:paraId="516F65FD"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39A875CD"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GAI contributes to confidence in communication</w:t>
            </w:r>
          </w:p>
        </w:tc>
      </w:tr>
      <w:tr w:rsidR="00B208D0" w:rsidRPr="00B208D0" w14:paraId="4EA0A69D" w14:textId="77777777" w:rsidTr="00631750">
        <w:trPr>
          <w:trHeight w:val="161"/>
          <w:jc w:val="center"/>
        </w:trPr>
        <w:tc>
          <w:tcPr>
            <w:tcW w:w="0" w:type="auto"/>
            <w:vMerge/>
            <w:vAlign w:val="center"/>
            <w:hideMark/>
          </w:tcPr>
          <w:p w14:paraId="5C63C217"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7A19E630"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Transition in confidence cased on proficiency of tool</w:t>
            </w:r>
          </w:p>
        </w:tc>
      </w:tr>
      <w:tr w:rsidR="00B208D0" w:rsidRPr="00B208D0" w14:paraId="39EADFF8" w14:textId="77777777" w:rsidTr="00631750">
        <w:trPr>
          <w:trHeight w:val="179"/>
          <w:jc w:val="center"/>
        </w:trPr>
        <w:tc>
          <w:tcPr>
            <w:tcW w:w="0" w:type="auto"/>
            <w:vMerge w:val="restart"/>
            <w:tcMar>
              <w:top w:w="100" w:type="dxa"/>
              <w:left w:w="100" w:type="dxa"/>
              <w:bottom w:w="100" w:type="dxa"/>
              <w:right w:w="100" w:type="dxa"/>
            </w:tcMar>
            <w:hideMark/>
          </w:tcPr>
          <w:p w14:paraId="0424B386"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Identity and Personal Growth</w:t>
            </w:r>
          </w:p>
        </w:tc>
        <w:tc>
          <w:tcPr>
            <w:tcW w:w="0" w:type="auto"/>
            <w:tcMar>
              <w:top w:w="100" w:type="dxa"/>
              <w:left w:w="100" w:type="dxa"/>
              <w:bottom w:w="100" w:type="dxa"/>
              <w:right w:w="100" w:type="dxa"/>
            </w:tcMar>
            <w:hideMark/>
          </w:tcPr>
          <w:p w14:paraId="0F07D108"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Maintaining professional identity</w:t>
            </w:r>
          </w:p>
        </w:tc>
      </w:tr>
      <w:tr w:rsidR="00B208D0" w:rsidRPr="00B208D0" w14:paraId="68C28E94" w14:textId="77777777" w:rsidTr="00631750">
        <w:trPr>
          <w:trHeight w:val="26"/>
          <w:jc w:val="center"/>
        </w:trPr>
        <w:tc>
          <w:tcPr>
            <w:tcW w:w="0" w:type="auto"/>
            <w:vMerge/>
            <w:vAlign w:val="center"/>
            <w:hideMark/>
          </w:tcPr>
          <w:p w14:paraId="029F128D"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2B975C74"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Pride</w:t>
            </w:r>
          </w:p>
        </w:tc>
      </w:tr>
      <w:tr w:rsidR="00B208D0" w:rsidRPr="00B208D0" w14:paraId="0D7A6334" w14:textId="77777777" w:rsidTr="00631750">
        <w:trPr>
          <w:trHeight w:val="125"/>
          <w:jc w:val="center"/>
        </w:trPr>
        <w:tc>
          <w:tcPr>
            <w:tcW w:w="0" w:type="auto"/>
            <w:vMerge w:val="restart"/>
            <w:tcMar>
              <w:top w:w="100" w:type="dxa"/>
              <w:left w:w="100" w:type="dxa"/>
              <w:bottom w:w="100" w:type="dxa"/>
              <w:right w:w="100" w:type="dxa"/>
            </w:tcMar>
            <w:hideMark/>
          </w:tcPr>
          <w:p w14:paraId="0AE4BCB4"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Use cases of ChatGPT</w:t>
            </w:r>
          </w:p>
        </w:tc>
        <w:tc>
          <w:tcPr>
            <w:tcW w:w="0" w:type="auto"/>
            <w:tcMar>
              <w:top w:w="100" w:type="dxa"/>
              <w:left w:w="100" w:type="dxa"/>
              <w:bottom w:w="100" w:type="dxa"/>
              <w:right w:w="100" w:type="dxa"/>
            </w:tcMar>
            <w:hideMark/>
          </w:tcPr>
          <w:p w14:paraId="0427FF50"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Used for Specific Portion of Design Process </w:t>
            </w:r>
          </w:p>
        </w:tc>
      </w:tr>
      <w:tr w:rsidR="00B208D0" w:rsidRPr="00B208D0" w14:paraId="2EE027AD" w14:textId="77777777" w:rsidTr="00631750">
        <w:trPr>
          <w:trHeight w:val="152"/>
          <w:jc w:val="center"/>
        </w:trPr>
        <w:tc>
          <w:tcPr>
            <w:tcW w:w="0" w:type="auto"/>
            <w:vMerge/>
            <w:vAlign w:val="center"/>
            <w:hideMark/>
          </w:tcPr>
          <w:p w14:paraId="2B3C6BC7"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47FF7960"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Outside design process</w:t>
            </w:r>
          </w:p>
        </w:tc>
      </w:tr>
      <w:tr w:rsidR="00B208D0" w:rsidRPr="00B208D0" w14:paraId="3B483101" w14:textId="77777777" w:rsidTr="00631750">
        <w:trPr>
          <w:trHeight w:val="20"/>
          <w:jc w:val="center"/>
        </w:trPr>
        <w:tc>
          <w:tcPr>
            <w:tcW w:w="0" w:type="auto"/>
            <w:vMerge/>
            <w:vAlign w:val="center"/>
            <w:hideMark/>
          </w:tcPr>
          <w:p w14:paraId="685EDC7B"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1A3D4336"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GenAI as an alternative to traditional search</w:t>
            </w:r>
          </w:p>
        </w:tc>
      </w:tr>
      <w:tr w:rsidR="00B208D0" w:rsidRPr="00B208D0" w14:paraId="2352FE6C" w14:textId="77777777" w:rsidTr="00631750">
        <w:trPr>
          <w:trHeight w:val="188"/>
          <w:jc w:val="center"/>
        </w:trPr>
        <w:tc>
          <w:tcPr>
            <w:tcW w:w="0" w:type="auto"/>
            <w:vMerge w:val="restart"/>
            <w:tcMar>
              <w:top w:w="100" w:type="dxa"/>
              <w:left w:w="100" w:type="dxa"/>
              <w:bottom w:w="100" w:type="dxa"/>
              <w:right w:w="100" w:type="dxa"/>
            </w:tcMar>
            <w:hideMark/>
          </w:tcPr>
          <w:p w14:paraId="5B8CCAA7"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The Challenges of Using ChatGPT</w:t>
            </w:r>
          </w:p>
        </w:tc>
        <w:tc>
          <w:tcPr>
            <w:tcW w:w="0" w:type="auto"/>
            <w:tcMar>
              <w:top w:w="100" w:type="dxa"/>
              <w:left w:w="100" w:type="dxa"/>
              <w:bottom w:w="100" w:type="dxa"/>
              <w:right w:w="100" w:type="dxa"/>
            </w:tcMar>
            <w:hideMark/>
          </w:tcPr>
          <w:p w14:paraId="434759F6"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Fear of misuse (e.g., Citation and accreditation concerns)</w:t>
            </w:r>
          </w:p>
        </w:tc>
      </w:tr>
      <w:tr w:rsidR="00B208D0" w:rsidRPr="00B208D0" w14:paraId="152B3B54" w14:textId="77777777" w:rsidTr="00631750">
        <w:trPr>
          <w:trHeight w:val="35"/>
          <w:jc w:val="center"/>
        </w:trPr>
        <w:tc>
          <w:tcPr>
            <w:tcW w:w="0" w:type="auto"/>
            <w:vMerge/>
            <w:vAlign w:val="center"/>
            <w:hideMark/>
          </w:tcPr>
          <w:p w14:paraId="41F736B9"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43FB279B"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Maintaining Authorial Voice</w:t>
            </w:r>
          </w:p>
        </w:tc>
      </w:tr>
      <w:tr w:rsidR="00B208D0" w:rsidRPr="00B208D0" w14:paraId="35792D01" w14:textId="77777777" w:rsidTr="00631750">
        <w:trPr>
          <w:trHeight w:val="20"/>
          <w:jc w:val="center"/>
        </w:trPr>
        <w:tc>
          <w:tcPr>
            <w:tcW w:w="0" w:type="auto"/>
            <w:vMerge/>
            <w:vAlign w:val="center"/>
            <w:hideMark/>
          </w:tcPr>
          <w:p w14:paraId="368FCD13"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45BB1749"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Prompt engineering / Precision in query formulation</w:t>
            </w:r>
          </w:p>
        </w:tc>
      </w:tr>
      <w:tr w:rsidR="00B208D0" w:rsidRPr="00B208D0" w14:paraId="71F6CB14" w14:textId="77777777" w:rsidTr="00631750">
        <w:trPr>
          <w:trHeight w:val="20"/>
          <w:jc w:val="center"/>
        </w:trPr>
        <w:tc>
          <w:tcPr>
            <w:tcW w:w="0" w:type="auto"/>
            <w:vMerge/>
            <w:vAlign w:val="center"/>
            <w:hideMark/>
          </w:tcPr>
          <w:p w14:paraId="04C03EE8"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5E39FEF4"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Intellectual property considerations</w:t>
            </w:r>
          </w:p>
        </w:tc>
      </w:tr>
      <w:tr w:rsidR="00B208D0" w:rsidRPr="00B208D0" w14:paraId="1615DDDC" w14:textId="77777777" w:rsidTr="00631750">
        <w:trPr>
          <w:trHeight w:val="20"/>
          <w:jc w:val="center"/>
        </w:trPr>
        <w:tc>
          <w:tcPr>
            <w:tcW w:w="0" w:type="auto"/>
            <w:vMerge/>
            <w:vAlign w:val="center"/>
            <w:hideMark/>
          </w:tcPr>
          <w:p w14:paraId="23D9A272"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6F39C3B5"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Trust in AI-generated content</w:t>
            </w:r>
          </w:p>
        </w:tc>
      </w:tr>
      <w:tr w:rsidR="00B208D0" w:rsidRPr="00B208D0" w14:paraId="249C8276" w14:textId="77777777" w:rsidTr="00631750">
        <w:trPr>
          <w:trHeight w:val="116"/>
          <w:jc w:val="center"/>
        </w:trPr>
        <w:tc>
          <w:tcPr>
            <w:tcW w:w="0" w:type="auto"/>
            <w:vMerge/>
            <w:vAlign w:val="center"/>
            <w:hideMark/>
          </w:tcPr>
          <w:p w14:paraId="5FECF200"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200CC2DE"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Reinforcing bias</w:t>
            </w:r>
          </w:p>
        </w:tc>
      </w:tr>
      <w:tr w:rsidR="00B208D0" w:rsidRPr="00B208D0" w14:paraId="25C0C26E" w14:textId="77777777" w:rsidTr="00631750">
        <w:trPr>
          <w:trHeight w:val="125"/>
          <w:jc w:val="center"/>
        </w:trPr>
        <w:tc>
          <w:tcPr>
            <w:tcW w:w="0" w:type="auto"/>
            <w:vMerge/>
            <w:vAlign w:val="center"/>
            <w:hideMark/>
          </w:tcPr>
          <w:p w14:paraId="2345AB1B"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42C1F42A"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Negative impact on personal growth</w:t>
            </w:r>
          </w:p>
        </w:tc>
      </w:tr>
      <w:tr w:rsidR="00B208D0" w:rsidRPr="00B208D0" w14:paraId="761FCF0A" w14:textId="77777777" w:rsidTr="00631750">
        <w:trPr>
          <w:trHeight w:val="20"/>
          <w:jc w:val="center"/>
        </w:trPr>
        <w:tc>
          <w:tcPr>
            <w:tcW w:w="0" w:type="auto"/>
            <w:vMerge w:val="restart"/>
            <w:tcMar>
              <w:top w:w="100" w:type="dxa"/>
              <w:left w:w="100" w:type="dxa"/>
              <w:bottom w:w="100" w:type="dxa"/>
              <w:right w:w="100" w:type="dxa"/>
            </w:tcMar>
            <w:hideMark/>
          </w:tcPr>
          <w:p w14:paraId="6EEFC143"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Equity and Inclusion in Learning</w:t>
            </w:r>
          </w:p>
        </w:tc>
        <w:tc>
          <w:tcPr>
            <w:tcW w:w="0" w:type="auto"/>
            <w:tcMar>
              <w:top w:w="100" w:type="dxa"/>
              <w:left w:w="100" w:type="dxa"/>
              <w:bottom w:w="100" w:type="dxa"/>
              <w:right w:w="100" w:type="dxa"/>
            </w:tcMar>
            <w:hideMark/>
          </w:tcPr>
          <w:p w14:paraId="7ED6163B"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More equitable learning (Personalized)</w:t>
            </w:r>
          </w:p>
        </w:tc>
      </w:tr>
      <w:tr w:rsidR="00B208D0" w:rsidRPr="00B208D0" w14:paraId="091A77B5" w14:textId="77777777" w:rsidTr="00631750">
        <w:trPr>
          <w:trHeight w:val="20"/>
          <w:jc w:val="center"/>
        </w:trPr>
        <w:tc>
          <w:tcPr>
            <w:tcW w:w="0" w:type="auto"/>
            <w:vMerge/>
            <w:vAlign w:val="center"/>
            <w:hideMark/>
          </w:tcPr>
          <w:p w14:paraId="3D56AB58" w14:textId="77777777" w:rsidR="00B208D0" w:rsidRPr="00B208D0" w:rsidRDefault="00B208D0" w:rsidP="00631750">
            <w:pPr>
              <w:spacing w:line="240" w:lineRule="auto"/>
              <w:rPr>
                <w:rFonts w:ascii="Aptos Narrow" w:hAnsi="Aptos Narrow"/>
                <w:lang w:eastAsia="zh-CN"/>
              </w:rPr>
            </w:pPr>
          </w:p>
        </w:tc>
        <w:tc>
          <w:tcPr>
            <w:tcW w:w="0" w:type="auto"/>
            <w:tcMar>
              <w:top w:w="100" w:type="dxa"/>
              <w:left w:w="100" w:type="dxa"/>
              <w:bottom w:w="100" w:type="dxa"/>
              <w:right w:w="100" w:type="dxa"/>
            </w:tcMar>
            <w:hideMark/>
          </w:tcPr>
          <w:p w14:paraId="40F81A6C" w14:textId="77777777" w:rsidR="00B208D0" w:rsidRPr="00B208D0" w:rsidRDefault="00B208D0" w:rsidP="00631750">
            <w:pPr>
              <w:spacing w:line="240" w:lineRule="auto"/>
              <w:rPr>
                <w:rFonts w:ascii="Aptos Narrow" w:hAnsi="Aptos Narrow"/>
                <w:lang w:eastAsia="zh-CN"/>
              </w:rPr>
            </w:pPr>
            <w:r w:rsidRPr="00B208D0">
              <w:rPr>
                <w:rFonts w:ascii="Aptos Narrow" w:hAnsi="Aptos Narrow"/>
                <w:lang w:eastAsia="zh-CN"/>
              </w:rPr>
              <w:t>Less equitable learning (Monetization)</w:t>
            </w:r>
          </w:p>
        </w:tc>
      </w:tr>
    </w:tbl>
    <w:p w14:paraId="328A5B54" w14:textId="77777777" w:rsidR="00B208D0" w:rsidRDefault="00B208D0" w:rsidP="007F547E">
      <w:pPr>
        <w:rPr>
          <w:rFonts w:ascii="Aptos Narrow" w:hAnsi="Aptos Narrow"/>
          <w:lang w:eastAsia="zh-CN"/>
        </w:rPr>
      </w:pPr>
    </w:p>
    <w:p w14:paraId="1526C118" w14:textId="77777777" w:rsidR="00653474" w:rsidRPr="00F762E1" w:rsidRDefault="00653474" w:rsidP="00653474">
      <w:pPr>
        <w:rPr>
          <w:rFonts w:ascii="Aptos Narrow" w:hAnsi="Aptos Narrow"/>
          <w:lang w:eastAsia="zh-CN"/>
        </w:rPr>
      </w:pPr>
      <w:r w:rsidRPr="00F762E1">
        <w:rPr>
          <w:rFonts w:ascii="Aptos Narrow" w:hAnsi="Aptos Narrow"/>
          <w:noProof/>
        </w:rPr>
        <w:lastRenderedPageBreak/>
        <w:drawing>
          <wp:inline distT="0" distB="0" distL="0" distR="0" wp14:anchorId="15461167" wp14:editId="3C16652D">
            <wp:extent cx="5943600" cy="1915160"/>
            <wp:effectExtent l="0" t="0" r="0" b="2540"/>
            <wp:docPr id="259108951"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08951" name="Picture 1" descr="A diagram of a proces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915160"/>
                    </a:xfrm>
                    <a:prstGeom prst="rect">
                      <a:avLst/>
                    </a:prstGeom>
                    <a:noFill/>
                    <a:ln>
                      <a:noFill/>
                    </a:ln>
                  </pic:spPr>
                </pic:pic>
              </a:graphicData>
            </a:graphic>
          </wp:inline>
        </w:drawing>
      </w:r>
    </w:p>
    <w:p w14:paraId="526C05C9" w14:textId="2F6FACA9" w:rsidR="00653474" w:rsidRPr="00F762E1" w:rsidRDefault="00653474" w:rsidP="007F547E">
      <w:pPr>
        <w:rPr>
          <w:rFonts w:ascii="Aptos Narrow" w:hAnsi="Aptos Narrow"/>
          <w:lang w:eastAsia="zh-CN"/>
        </w:rPr>
      </w:pPr>
      <w:r w:rsidRPr="00F762E1">
        <w:rPr>
          <w:rFonts w:ascii="Aptos Narrow" w:hAnsi="Aptos Narrow"/>
          <w:lang w:eastAsia="zh-CN"/>
        </w:rPr>
        <w:t>Figure 1. Study design (Yang et al., 2025)</w:t>
      </w:r>
    </w:p>
    <w:p w14:paraId="1BEF14FF" w14:textId="0C688442" w:rsidR="002376C2" w:rsidRPr="00F762E1" w:rsidRDefault="002376C2" w:rsidP="007F547E">
      <w:pPr>
        <w:rPr>
          <w:rFonts w:ascii="Aptos Narrow" w:hAnsi="Aptos Narrow"/>
          <w:b/>
          <w:bCs/>
        </w:rPr>
      </w:pPr>
      <w:r w:rsidRPr="00F762E1">
        <w:rPr>
          <w:rFonts w:ascii="Aptos Narrow" w:hAnsi="Aptos Narrow"/>
          <w:b/>
          <w:bCs/>
        </w:rPr>
        <w:t>Findings</w:t>
      </w:r>
      <w:r w:rsidR="00A621FF" w:rsidRPr="00F762E1">
        <w:rPr>
          <w:rFonts w:ascii="Aptos Narrow" w:hAnsi="Aptos Narrow"/>
          <w:b/>
          <w:bCs/>
        </w:rPr>
        <w:t xml:space="preserve"> and Discussion</w:t>
      </w:r>
      <w:r w:rsidRPr="00F762E1">
        <w:rPr>
          <w:rFonts w:ascii="Aptos Narrow" w:hAnsi="Aptos Narrow"/>
          <w:b/>
          <w:bCs/>
        </w:rPr>
        <w:t xml:space="preserve"> </w:t>
      </w:r>
    </w:p>
    <w:p w14:paraId="1AD4D230" w14:textId="0EFC02E7" w:rsidR="00A621FF" w:rsidRPr="00F762E1" w:rsidRDefault="00A01AE0" w:rsidP="007F547E">
      <w:pPr>
        <w:rPr>
          <w:rFonts w:ascii="Aptos Narrow" w:hAnsi="Aptos Narrow"/>
          <w:b/>
          <w:bCs/>
          <w:i/>
          <w:iCs/>
          <w:lang w:eastAsia="zh-CN"/>
        </w:rPr>
      </w:pPr>
      <w:r w:rsidRPr="00F762E1">
        <w:rPr>
          <w:rFonts w:ascii="Aptos Narrow" w:hAnsi="Aptos Narrow"/>
          <w:b/>
          <w:bCs/>
          <w:i/>
          <w:iCs/>
        </w:rPr>
        <w:t>RQ1: Student perception of ownership</w:t>
      </w:r>
      <w:r w:rsidR="00AC0562" w:rsidRPr="00F762E1">
        <w:rPr>
          <w:rFonts w:ascii="Aptos Narrow" w:hAnsi="Aptos Narrow"/>
          <w:b/>
          <w:bCs/>
          <w:i/>
          <w:iCs/>
          <w:lang w:eastAsia="zh-CN"/>
        </w:rPr>
        <w:t xml:space="preserve"> while using ChatGPT in the design process</w:t>
      </w:r>
    </w:p>
    <w:p w14:paraId="621A6DC5" w14:textId="6F5C563D" w:rsidR="00960146" w:rsidRPr="00F762E1" w:rsidRDefault="00965EC9" w:rsidP="007F547E">
      <w:pPr>
        <w:rPr>
          <w:rFonts w:ascii="Aptos Narrow" w:hAnsi="Aptos Narrow"/>
          <w:lang w:eastAsia="zh-CN"/>
        </w:rPr>
      </w:pPr>
      <w:r w:rsidRPr="00F762E1">
        <w:rPr>
          <w:rFonts w:ascii="Aptos Narrow" w:hAnsi="Aptos Narrow"/>
        </w:rPr>
        <w:t>Students generally felt a favorable sense of ownership over their learning when using ChatGPT. However, this perception varied significantly based on educational level</w:t>
      </w:r>
      <w:r w:rsidR="00F762E1" w:rsidRPr="00F762E1">
        <w:rPr>
          <w:rFonts w:ascii="Aptos Narrow" w:hAnsi="Aptos Narrow"/>
          <w:lang w:eastAsia="zh-CN"/>
        </w:rPr>
        <w:t xml:space="preserve"> </w:t>
      </w:r>
      <w:r w:rsidRPr="00F762E1">
        <w:rPr>
          <w:rFonts w:ascii="Aptos Narrow" w:hAnsi="Aptos Narrow"/>
        </w:rPr>
        <w:t xml:space="preserve">and prior experience. Graduate students reported a significantly stronger sense of ownership across all dimensions (confidence, accountability, self-identity, and belongingness) compared to undergraduates. This difference arose because graduate students were more likely to use ChatGPT actively as a "thought partner" for ongoing dialogue and ideation, rather than passively using it as a simple, "one-and-done" advanced search engine. Interestingly, neurodivergent learners reported </w:t>
      </w:r>
      <w:r w:rsidR="004B1017">
        <w:rPr>
          <w:rFonts w:ascii="Aptos Narrow" w:hAnsi="Aptos Narrow" w:hint="eastAsia"/>
          <w:lang w:eastAsia="zh-CN"/>
        </w:rPr>
        <w:t>lower score on the entire ownership scale</w:t>
      </w:r>
      <w:r w:rsidRPr="00F762E1">
        <w:rPr>
          <w:rFonts w:ascii="Aptos Narrow" w:hAnsi="Aptos Narrow"/>
        </w:rPr>
        <w:t>,</w:t>
      </w:r>
      <w:r w:rsidR="004B1017">
        <w:rPr>
          <w:rFonts w:ascii="Aptos Narrow" w:hAnsi="Aptos Narrow" w:hint="eastAsia"/>
          <w:lang w:eastAsia="zh-CN"/>
        </w:rPr>
        <w:t xml:space="preserve"> although not </w:t>
      </w:r>
      <w:r w:rsidR="004B1017">
        <w:rPr>
          <w:rFonts w:ascii="Aptos Narrow" w:hAnsi="Aptos Narrow"/>
          <w:lang w:eastAsia="zh-CN"/>
        </w:rPr>
        <w:t>significant</w:t>
      </w:r>
      <w:r w:rsidR="004B1017">
        <w:rPr>
          <w:rFonts w:ascii="Aptos Narrow" w:hAnsi="Aptos Narrow" w:hint="eastAsia"/>
          <w:lang w:eastAsia="zh-CN"/>
        </w:rPr>
        <w:t>,</w:t>
      </w:r>
      <w:r w:rsidRPr="00F762E1">
        <w:rPr>
          <w:rFonts w:ascii="Aptos Narrow" w:hAnsi="Aptos Narrow"/>
        </w:rPr>
        <w:t xml:space="preserve"> but reported a </w:t>
      </w:r>
      <w:r w:rsidR="004B1017" w:rsidRPr="00F762E1">
        <w:rPr>
          <w:rFonts w:ascii="Aptos Narrow" w:hAnsi="Aptos Narrow"/>
        </w:rPr>
        <w:t xml:space="preserve">significantly </w:t>
      </w:r>
      <w:r w:rsidRPr="00F762E1">
        <w:rPr>
          <w:rFonts w:ascii="Aptos Narrow" w:hAnsi="Aptos Narrow"/>
        </w:rPr>
        <w:t>lower sense of belonging within the larger learning community. Learning modality (synchronous vs. asynchronous online courses) made no statistically significant difference in perceived ownership.</w:t>
      </w:r>
    </w:p>
    <w:p w14:paraId="75D65B7D" w14:textId="742F8981" w:rsidR="00965EC9" w:rsidRPr="00F762E1" w:rsidRDefault="00965EC9" w:rsidP="007F547E">
      <w:pPr>
        <w:rPr>
          <w:rFonts w:ascii="Aptos Narrow" w:hAnsi="Aptos Narrow"/>
          <w:b/>
          <w:bCs/>
          <w:i/>
          <w:iCs/>
        </w:rPr>
      </w:pPr>
      <w:r w:rsidRPr="00F762E1">
        <w:rPr>
          <w:rFonts w:ascii="Aptos Narrow" w:hAnsi="Aptos Narrow"/>
          <w:b/>
          <w:bCs/>
          <w:i/>
          <w:iCs/>
        </w:rPr>
        <w:t>RQ2. How did students use ChatGPT within and outside their design process</w:t>
      </w:r>
    </w:p>
    <w:p w14:paraId="49428B8E" w14:textId="10DEED89" w:rsidR="00A137DE" w:rsidRPr="00F762E1" w:rsidRDefault="00E904E7" w:rsidP="00A137DE">
      <w:pPr>
        <w:rPr>
          <w:rFonts w:ascii="Aptos Narrow" w:hAnsi="Aptos Narrow"/>
        </w:rPr>
      </w:pPr>
      <w:r w:rsidRPr="00F762E1">
        <w:rPr>
          <w:rFonts w:ascii="Aptos Narrow" w:hAnsi="Aptos Narrow"/>
          <w:lang w:eastAsia="zh-CN"/>
        </w:rPr>
        <w:t>A</w:t>
      </w:r>
      <w:r w:rsidRPr="00F762E1">
        <w:rPr>
          <w:rFonts w:ascii="Aptos Narrow" w:hAnsi="Aptos Narrow"/>
        </w:rPr>
        <w:t>pproximately a quarter of all students who submitted their chat history and/or design artifacts actively used ChatGPT.</w:t>
      </w:r>
      <w:r w:rsidRPr="00F762E1">
        <w:rPr>
          <w:rFonts w:ascii="Aptos Narrow" w:hAnsi="Aptos Narrow"/>
          <w:lang w:eastAsia="zh-CN"/>
        </w:rPr>
        <w:t xml:space="preserve"> </w:t>
      </w:r>
      <w:r w:rsidR="00457FBF" w:rsidRPr="00F762E1">
        <w:rPr>
          <w:rFonts w:ascii="Aptos Narrow" w:hAnsi="Aptos Narrow"/>
        </w:rPr>
        <w:t xml:space="preserve">Students primarily used ChatGPT to aid in the analysis and early design phases of their projects, focusing on ideation, brainstorming, and generating initial outlines. </w:t>
      </w:r>
      <w:r w:rsidR="0048372C" w:rsidRPr="00F762E1">
        <w:rPr>
          <w:rFonts w:ascii="Aptos Narrow" w:hAnsi="Aptos Narrow"/>
        </w:rPr>
        <w:t xml:space="preserve">Some used it like Google—asking general questions and pasting answers. </w:t>
      </w:r>
      <w:r w:rsidR="00457FBF" w:rsidRPr="00F762E1">
        <w:rPr>
          <w:rFonts w:ascii="Aptos Narrow" w:hAnsi="Aptos Narrow"/>
        </w:rPr>
        <w:t xml:space="preserve">Use in later, more complex stages </w:t>
      </w:r>
      <w:r w:rsidR="004B1398" w:rsidRPr="00F762E1">
        <w:rPr>
          <w:rFonts w:ascii="Aptos Narrow" w:hAnsi="Aptos Narrow"/>
          <w:lang w:eastAsia="zh-CN"/>
        </w:rPr>
        <w:t>such as</w:t>
      </w:r>
      <w:r w:rsidR="00457FBF" w:rsidRPr="00F762E1">
        <w:rPr>
          <w:rFonts w:ascii="Aptos Narrow" w:hAnsi="Aptos Narrow"/>
        </w:rPr>
        <w:t xml:space="preserve"> design implementation or evaluation </w:t>
      </w:r>
      <w:r w:rsidR="0033302A" w:rsidRPr="00F762E1">
        <w:rPr>
          <w:rFonts w:ascii="Aptos Narrow" w:hAnsi="Aptos Narrow"/>
        </w:rPr>
        <w:t>were</w:t>
      </w:r>
      <w:r w:rsidR="00457FBF" w:rsidRPr="00F762E1">
        <w:rPr>
          <w:rFonts w:ascii="Aptos Narrow" w:hAnsi="Aptos Narrow"/>
        </w:rPr>
        <w:t xml:space="preserve"> less common across all groups. S</w:t>
      </w:r>
      <w:r w:rsidR="00455FF3" w:rsidRPr="00F762E1">
        <w:rPr>
          <w:rFonts w:ascii="Aptos Narrow" w:hAnsi="Aptos Narrow"/>
          <w:lang w:eastAsia="zh-CN"/>
        </w:rPr>
        <w:t>ome s</w:t>
      </w:r>
      <w:r w:rsidR="00457FBF" w:rsidRPr="00F762E1">
        <w:rPr>
          <w:rFonts w:ascii="Aptos Narrow" w:hAnsi="Aptos Narrow"/>
        </w:rPr>
        <w:t xml:space="preserve">tudents </w:t>
      </w:r>
      <w:r w:rsidR="006871C0" w:rsidRPr="00F762E1">
        <w:rPr>
          <w:rFonts w:ascii="Aptos Narrow" w:hAnsi="Aptos Narrow"/>
          <w:lang w:eastAsia="zh-CN"/>
        </w:rPr>
        <w:t xml:space="preserve">especially graduate students who work full-time in an instructional design position </w:t>
      </w:r>
      <w:r w:rsidR="00457FBF" w:rsidRPr="00F762E1">
        <w:rPr>
          <w:rFonts w:ascii="Aptos Narrow" w:hAnsi="Aptos Narrow"/>
        </w:rPr>
        <w:t xml:space="preserve">also transferred the skills learned in class to their </w:t>
      </w:r>
      <w:r w:rsidR="00952440" w:rsidRPr="00F762E1">
        <w:rPr>
          <w:rFonts w:ascii="Aptos Narrow" w:hAnsi="Aptos Narrow"/>
          <w:lang w:eastAsia="zh-CN"/>
        </w:rPr>
        <w:t>workplace learning and performance</w:t>
      </w:r>
      <w:r w:rsidR="00457FBF" w:rsidRPr="00F762E1">
        <w:rPr>
          <w:rFonts w:ascii="Aptos Narrow" w:hAnsi="Aptos Narrow"/>
        </w:rPr>
        <w:t>, frequently using ChatGPT outside the classroom for practical tasks like professional email drafting, simplifying complex concepts, and modifying text for accessibility.</w:t>
      </w:r>
      <w:r w:rsidR="00A137DE" w:rsidRPr="00F762E1">
        <w:rPr>
          <w:rFonts w:ascii="Aptos Narrow" w:hAnsi="Aptos Narrow"/>
        </w:rPr>
        <w:t xml:space="preserve"> </w:t>
      </w:r>
    </w:p>
    <w:p w14:paraId="532CDB0F" w14:textId="64153788" w:rsidR="00457FBF" w:rsidRPr="00F762E1" w:rsidRDefault="00717958" w:rsidP="00B26F53">
      <w:pPr>
        <w:rPr>
          <w:rFonts w:ascii="Aptos Narrow" w:hAnsi="Aptos Narrow"/>
          <w:b/>
          <w:bCs/>
          <w:i/>
          <w:iCs/>
          <w:lang w:eastAsia="zh-CN"/>
        </w:rPr>
      </w:pPr>
      <w:r w:rsidRPr="00F762E1">
        <w:rPr>
          <w:rFonts w:ascii="Aptos Narrow" w:hAnsi="Aptos Narrow"/>
          <w:b/>
          <w:bCs/>
          <w:i/>
          <w:iCs/>
        </w:rPr>
        <w:t>RQ3. Challenges</w:t>
      </w:r>
      <w:r w:rsidR="005A6667" w:rsidRPr="00F762E1">
        <w:rPr>
          <w:rFonts w:ascii="Aptos Narrow" w:hAnsi="Aptos Narrow"/>
          <w:b/>
          <w:bCs/>
          <w:i/>
          <w:iCs/>
        </w:rPr>
        <w:t xml:space="preserve"> of using ChatGPT in the design process</w:t>
      </w:r>
    </w:p>
    <w:p w14:paraId="63372DED" w14:textId="6B323DB0" w:rsidR="003E6565" w:rsidRPr="00F762E1" w:rsidRDefault="003E6565" w:rsidP="00AC0562">
      <w:pPr>
        <w:rPr>
          <w:rFonts w:ascii="Aptos Narrow" w:hAnsi="Aptos Narrow"/>
        </w:rPr>
      </w:pPr>
      <w:r w:rsidRPr="00F762E1">
        <w:rPr>
          <w:rFonts w:ascii="Aptos Narrow" w:hAnsi="Aptos Narrow"/>
        </w:rPr>
        <w:t>Students noted challenges related to intellectual property, prompt engineering difficulty, maintaining their unique authorial voice, and a lack of trust in the accuracy and reliability of AI-generated content. A key distinction emerged between student levels: Undergraduate students were primarily concerned with academic integrity, expressing fears about plagiarism and potential consequences from professors</w:t>
      </w:r>
      <w:r w:rsidR="006E2BBB" w:rsidRPr="00F762E1">
        <w:rPr>
          <w:rFonts w:ascii="Aptos Narrow" w:hAnsi="Aptos Narrow"/>
        </w:rPr>
        <w:t>.</w:t>
      </w:r>
      <w:r w:rsidRPr="00F762E1">
        <w:rPr>
          <w:rFonts w:ascii="Aptos Narrow" w:hAnsi="Aptos Narrow"/>
        </w:rPr>
        <w:t xml:space="preserve"> In contrast, graduate students were more concerned with the long-term </w:t>
      </w:r>
      <w:r w:rsidR="009630A2" w:rsidRPr="00F762E1">
        <w:rPr>
          <w:rFonts w:ascii="Aptos Narrow" w:hAnsi="Aptos Narrow"/>
          <w:lang w:eastAsia="zh-CN"/>
        </w:rPr>
        <w:t>implications</w:t>
      </w:r>
      <w:r w:rsidRPr="00F762E1">
        <w:rPr>
          <w:rFonts w:ascii="Aptos Narrow" w:hAnsi="Aptos Narrow"/>
        </w:rPr>
        <w:t xml:space="preserve"> on their professional identity and maintaining the integrity of their professional work, viewing AI misuse as compromising their career standing</w:t>
      </w:r>
      <w:r w:rsidR="004C6C96" w:rsidRPr="00F762E1">
        <w:rPr>
          <w:rFonts w:ascii="Aptos Narrow" w:hAnsi="Aptos Narrow"/>
          <w:lang w:eastAsia="zh-CN"/>
        </w:rPr>
        <w:t xml:space="preserve"> and undermining their work integrity</w:t>
      </w:r>
      <w:r w:rsidRPr="00F762E1">
        <w:rPr>
          <w:rFonts w:ascii="Aptos Narrow" w:hAnsi="Aptos Narrow"/>
        </w:rPr>
        <w:t>.</w:t>
      </w:r>
    </w:p>
    <w:p w14:paraId="56E9C672" w14:textId="06D0C49B" w:rsidR="003E6565" w:rsidRPr="00F762E1" w:rsidRDefault="003E6565" w:rsidP="00AC0562">
      <w:pPr>
        <w:rPr>
          <w:rFonts w:ascii="Aptos Narrow" w:hAnsi="Aptos Narrow"/>
          <w:lang w:eastAsia="zh-CN"/>
        </w:rPr>
      </w:pPr>
      <w:r w:rsidRPr="00F762E1">
        <w:rPr>
          <w:rFonts w:ascii="Aptos Narrow" w:hAnsi="Aptos Narrow"/>
        </w:rPr>
        <w:lastRenderedPageBreak/>
        <w:t>It is essential that faculty provide comprehensive training on GenAI literacy, focusing not only on ethical use but also on critical evaluation and adaptation of AI output to ensure accuracy. Faculty should</w:t>
      </w:r>
      <w:r w:rsidR="00B234B4" w:rsidRPr="00F762E1">
        <w:rPr>
          <w:rFonts w:ascii="Aptos Narrow" w:hAnsi="Aptos Narrow"/>
          <w:lang w:eastAsia="zh-CN"/>
        </w:rPr>
        <w:t xml:space="preserve"> consider</w:t>
      </w:r>
      <w:r w:rsidRPr="00F762E1">
        <w:rPr>
          <w:rFonts w:ascii="Aptos Narrow" w:hAnsi="Aptos Narrow"/>
        </w:rPr>
        <w:t xml:space="preserve"> tailor</w:t>
      </w:r>
      <w:r w:rsidR="00B234B4" w:rsidRPr="00F762E1">
        <w:rPr>
          <w:rFonts w:ascii="Aptos Narrow" w:hAnsi="Aptos Narrow"/>
          <w:lang w:eastAsia="zh-CN"/>
        </w:rPr>
        <w:t>ing</w:t>
      </w:r>
      <w:r w:rsidRPr="00F762E1">
        <w:rPr>
          <w:rFonts w:ascii="Aptos Narrow" w:hAnsi="Aptos Narrow"/>
        </w:rPr>
        <w:t xml:space="preserve"> conversations about ethical use: with undergraduates, emphasize plagiarism and academic honesty</w:t>
      </w:r>
      <w:r w:rsidR="00BA21F3" w:rsidRPr="00F762E1">
        <w:rPr>
          <w:rFonts w:ascii="Aptos Narrow" w:hAnsi="Aptos Narrow"/>
          <w:lang w:eastAsia="zh-CN"/>
        </w:rPr>
        <w:t xml:space="preserve"> and design AI-proof assignments</w:t>
      </w:r>
      <w:r w:rsidRPr="00F762E1">
        <w:rPr>
          <w:rFonts w:ascii="Aptos Narrow" w:hAnsi="Aptos Narrow"/>
        </w:rPr>
        <w:t>; with graduate students, focus on how responsible AI use integrates into professional standards and quality control</w:t>
      </w:r>
      <w:r w:rsidR="00B234B4" w:rsidRPr="00F762E1">
        <w:rPr>
          <w:rFonts w:ascii="Aptos Narrow" w:hAnsi="Aptos Narrow"/>
          <w:lang w:eastAsia="zh-CN"/>
        </w:rPr>
        <w:t>.</w:t>
      </w:r>
    </w:p>
    <w:p w14:paraId="188EE322" w14:textId="77777777" w:rsidR="00436A14" w:rsidRPr="00F762E1" w:rsidRDefault="00436A14" w:rsidP="00AC0562">
      <w:pPr>
        <w:rPr>
          <w:rFonts w:ascii="Aptos Narrow" w:hAnsi="Aptos Narrow"/>
          <w:b/>
          <w:bCs/>
          <w:i/>
          <w:iCs/>
          <w:lang w:eastAsia="zh-CN"/>
        </w:rPr>
      </w:pPr>
      <w:r w:rsidRPr="00F762E1">
        <w:rPr>
          <w:rFonts w:ascii="Aptos Narrow" w:hAnsi="Aptos Narrow"/>
          <w:b/>
          <w:bCs/>
          <w:i/>
          <w:iCs/>
          <w:lang w:eastAsia="zh-CN"/>
        </w:rPr>
        <w:t>RQ4: ChatGPT’s role for equitable learning</w:t>
      </w:r>
    </w:p>
    <w:p w14:paraId="1B83665B" w14:textId="3A0979B5" w:rsidR="003E6565" w:rsidRPr="00F762E1" w:rsidRDefault="003E6565" w:rsidP="00AC0562">
      <w:pPr>
        <w:rPr>
          <w:rFonts w:ascii="Aptos Narrow" w:hAnsi="Aptos Narrow"/>
        </w:rPr>
      </w:pPr>
      <w:r w:rsidRPr="00F762E1">
        <w:rPr>
          <w:rFonts w:ascii="Aptos Narrow" w:hAnsi="Aptos Narrow"/>
        </w:rPr>
        <w:t>Many learners viewed ChatGPT optimistically, suggesting it could increase educational equity by supporting specific groups, including non-native English speakers, adult learners, and those with processing challenges or neurodivergence. Neurodivergent students specifically found the tool helped them organize thoughts and manage feelings of being overwhelmed or having "imposter syndrome</w:t>
      </w:r>
      <w:r w:rsidR="00ED0EC7" w:rsidRPr="00F762E1">
        <w:rPr>
          <w:rFonts w:ascii="Aptos Narrow" w:hAnsi="Aptos Narrow"/>
          <w:lang w:eastAsia="zh-CN"/>
        </w:rPr>
        <w:t>.</w:t>
      </w:r>
      <w:r w:rsidRPr="00F762E1">
        <w:rPr>
          <w:rFonts w:ascii="Aptos Narrow" w:hAnsi="Aptos Narrow"/>
        </w:rPr>
        <w:t xml:space="preserve">" However, students also expressed concerns that the monetization of advanced AI </w:t>
      </w:r>
      <w:r w:rsidR="00ED0EC7" w:rsidRPr="00F762E1">
        <w:rPr>
          <w:rFonts w:ascii="Aptos Narrow" w:hAnsi="Aptos Narrow"/>
          <w:lang w:eastAsia="zh-CN"/>
        </w:rPr>
        <w:t>features</w:t>
      </w:r>
      <w:r w:rsidRPr="00F762E1">
        <w:rPr>
          <w:rFonts w:ascii="Aptos Narrow" w:hAnsi="Aptos Narrow"/>
        </w:rPr>
        <w:t xml:space="preserve"> could create new inequities in access. Furthermore, they recognized that GenAI content risks being biased or monocultural, potentially amplifying existing stereotypes.</w:t>
      </w:r>
    </w:p>
    <w:p w14:paraId="3197DDC1" w14:textId="7CE4507F" w:rsidR="003E6565" w:rsidRPr="00F762E1" w:rsidRDefault="00AE3581" w:rsidP="007F547E">
      <w:pPr>
        <w:rPr>
          <w:rFonts w:ascii="Aptos Narrow" w:hAnsi="Aptos Narrow"/>
          <w:lang w:eastAsia="zh-CN"/>
        </w:rPr>
      </w:pPr>
      <w:r w:rsidRPr="00F762E1">
        <w:rPr>
          <w:rFonts w:ascii="Aptos Narrow" w:hAnsi="Aptos Narrow"/>
          <w:lang w:eastAsia="zh-CN"/>
        </w:rPr>
        <w:t>In addition to provid</w:t>
      </w:r>
      <w:r w:rsidR="00AB5730" w:rsidRPr="00F762E1">
        <w:rPr>
          <w:rFonts w:ascii="Aptos Narrow" w:hAnsi="Aptos Narrow"/>
          <w:lang w:eastAsia="zh-CN"/>
        </w:rPr>
        <w:t>ing</w:t>
      </w:r>
      <w:r w:rsidRPr="00F762E1">
        <w:rPr>
          <w:rFonts w:ascii="Aptos Narrow" w:hAnsi="Aptos Narrow"/>
          <w:lang w:eastAsia="zh-CN"/>
        </w:rPr>
        <w:t xml:space="preserve"> comprehensive training, faculty who are interested in implementing GenAI in their instruction </w:t>
      </w:r>
      <w:r w:rsidR="00AB5730" w:rsidRPr="00F762E1">
        <w:rPr>
          <w:rFonts w:ascii="Aptos Narrow" w:hAnsi="Aptos Narrow"/>
          <w:lang w:eastAsia="zh-CN"/>
        </w:rPr>
        <w:t>should move</w:t>
      </w:r>
      <w:r w:rsidR="009F7DD2" w:rsidRPr="00F762E1">
        <w:rPr>
          <w:rFonts w:ascii="Aptos Narrow" w:hAnsi="Aptos Narrow"/>
        </w:rPr>
        <w:t xml:space="preserve"> beyond general ethical rules to focus on critical evaluation and adaptation of AI output to ensure accuracy and maintain</w:t>
      </w:r>
      <w:r w:rsidR="00AB5730" w:rsidRPr="00F762E1">
        <w:rPr>
          <w:rFonts w:ascii="Aptos Narrow" w:hAnsi="Aptos Narrow"/>
          <w:lang w:eastAsia="zh-CN"/>
        </w:rPr>
        <w:t xml:space="preserve"> learners’</w:t>
      </w:r>
      <w:r w:rsidR="009F7DD2" w:rsidRPr="00F762E1">
        <w:rPr>
          <w:rFonts w:ascii="Aptos Narrow" w:hAnsi="Aptos Narrow"/>
        </w:rPr>
        <w:t xml:space="preserve"> individual voice</w:t>
      </w:r>
      <w:r w:rsidR="009F7DD2" w:rsidRPr="00F762E1">
        <w:rPr>
          <w:rFonts w:ascii="Aptos Narrow" w:hAnsi="Aptos Narrow"/>
          <w:lang w:eastAsia="zh-CN"/>
        </w:rPr>
        <w:t xml:space="preserve"> and </w:t>
      </w:r>
      <w:r w:rsidR="00AB5730" w:rsidRPr="00F762E1">
        <w:rPr>
          <w:rFonts w:ascii="Aptos Narrow" w:hAnsi="Aptos Narrow"/>
          <w:lang w:eastAsia="zh-CN"/>
        </w:rPr>
        <w:t xml:space="preserve">professional </w:t>
      </w:r>
      <w:r w:rsidR="009F7DD2" w:rsidRPr="00F762E1">
        <w:rPr>
          <w:rFonts w:ascii="Aptos Narrow" w:hAnsi="Aptos Narrow"/>
          <w:lang w:eastAsia="zh-CN"/>
        </w:rPr>
        <w:t>identity</w:t>
      </w:r>
      <w:r w:rsidR="009F7DD2" w:rsidRPr="00F762E1">
        <w:rPr>
          <w:rFonts w:ascii="Aptos Narrow" w:hAnsi="Aptos Narrow"/>
        </w:rPr>
        <w:t xml:space="preserve">. To support non-traditional and diverse learners, </w:t>
      </w:r>
      <w:r w:rsidR="00AA0898" w:rsidRPr="00F762E1">
        <w:rPr>
          <w:rFonts w:ascii="Aptos Narrow" w:hAnsi="Aptos Narrow"/>
        </w:rPr>
        <w:t>faculty must address the issue of bias in AI output and structure assignments so that students using free versions of the tool are not significantly disadvantaged compared to those using paid subscription</w:t>
      </w:r>
      <w:r w:rsidR="00AA0898" w:rsidRPr="00F762E1">
        <w:rPr>
          <w:rFonts w:ascii="Aptos Narrow" w:hAnsi="Aptos Narrow"/>
          <w:lang w:eastAsia="zh-CN"/>
        </w:rPr>
        <w:t>s. F</w:t>
      </w:r>
      <w:r w:rsidR="009F7DD2" w:rsidRPr="00F762E1">
        <w:rPr>
          <w:rFonts w:ascii="Aptos Narrow" w:hAnsi="Aptos Narrow"/>
        </w:rPr>
        <w:t>inally, faculty should scaffold activities to encourage students to utilize ChatGPT as an "active thought partner" throughout the entire design lifecycle, not just for initial ideation, to boost their perceived ownership.</w:t>
      </w:r>
    </w:p>
    <w:p w14:paraId="1ADD0D9F" w14:textId="719029F7" w:rsidR="00A621FF" w:rsidRPr="00F762E1" w:rsidRDefault="00A621FF" w:rsidP="007F547E">
      <w:pPr>
        <w:rPr>
          <w:rFonts w:ascii="Aptos Narrow" w:hAnsi="Aptos Narrow"/>
          <w:b/>
          <w:bCs/>
        </w:rPr>
      </w:pPr>
      <w:r w:rsidRPr="00F762E1">
        <w:rPr>
          <w:rFonts w:ascii="Aptos Narrow" w:hAnsi="Aptos Narrow"/>
          <w:b/>
          <w:bCs/>
        </w:rPr>
        <w:t>Conclusions</w:t>
      </w:r>
    </w:p>
    <w:p w14:paraId="4288E3EE" w14:textId="400B8133" w:rsidR="0071455A" w:rsidRPr="00F762E1" w:rsidRDefault="0071455A" w:rsidP="007F547E">
      <w:pPr>
        <w:rPr>
          <w:rFonts w:ascii="Aptos Narrow" w:hAnsi="Aptos Narrow"/>
        </w:rPr>
      </w:pPr>
      <w:r w:rsidRPr="00F762E1">
        <w:rPr>
          <w:rFonts w:ascii="Aptos Narrow" w:hAnsi="Aptos Narrow"/>
        </w:rPr>
        <w:t xml:space="preserve">The study employed a mixed-methods multiple-case study design to explore how non-traditional online students perceived their ownership of learning when using ChatGPT for instructional design tasks. Adopting the psychological ownership construct as the theoretical framework, the research examined four key dimensions: self-efficacy, accountability, belongingness, and self-identity. Findings indicated that students’ educational levels </w:t>
      </w:r>
      <w:r w:rsidR="006720BF" w:rsidRPr="00F762E1">
        <w:rPr>
          <w:rFonts w:ascii="Aptos Narrow" w:hAnsi="Aptos Narrow"/>
          <w:lang w:eastAsia="zh-CN"/>
        </w:rPr>
        <w:t xml:space="preserve">(undergraduate vs. graduate) </w:t>
      </w:r>
      <w:r w:rsidRPr="00F762E1">
        <w:rPr>
          <w:rFonts w:ascii="Aptos Narrow" w:hAnsi="Aptos Narrow"/>
          <w:lang w:eastAsia="zh-CN"/>
        </w:rPr>
        <w:t>a</w:t>
      </w:r>
      <w:r w:rsidRPr="00F762E1">
        <w:rPr>
          <w:rFonts w:ascii="Aptos Narrow" w:hAnsi="Aptos Narrow"/>
        </w:rPr>
        <w:t xml:space="preserve">nd prior AI experiences </w:t>
      </w:r>
      <w:r w:rsidR="004408B4" w:rsidRPr="00F762E1">
        <w:rPr>
          <w:rFonts w:ascii="Aptos Narrow" w:hAnsi="Aptos Narrow"/>
          <w:lang w:eastAsia="zh-CN"/>
        </w:rPr>
        <w:t xml:space="preserve">(no AI experience vs. prior AI experience) </w:t>
      </w:r>
      <w:r w:rsidRPr="00F762E1">
        <w:rPr>
          <w:rFonts w:ascii="Aptos Narrow" w:hAnsi="Aptos Narrow"/>
        </w:rPr>
        <w:t>played a significant role in their perceived ownership, with graduate students and those with prior experience reporting statistically higher scores across most dimensions. Notably, while overall ownership was not significantly impacted by neurodivergent status or learning modality, neurodivergent learners did report statistically significantly lower scores on the belongingness subscale. Usage patterns varied by level; graduate students tended to be active users, engaging with ChatGPT as a "thought partner" for ongoing dialogue and ideation, whereas undergraduates often used it passively as a</w:t>
      </w:r>
      <w:r w:rsidR="00D941D1" w:rsidRPr="00F762E1">
        <w:rPr>
          <w:rFonts w:ascii="Aptos Narrow" w:hAnsi="Aptos Narrow"/>
          <w:lang w:eastAsia="zh-CN"/>
        </w:rPr>
        <w:t xml:space="preserve"> smart </w:t>
      </w:r>
      <w:r w:rsidRPr="00F762E1">
        <w:rPr>
          <w:rFonts w:ascii="Aptos Narrow" w:hAnsi="Aptos Narrow"/>
        </w:rPr>
        <w:t xml:space="preserve">search engine. Students primarily leveraged the tool during the analysis and early design phases of projects, such as brainstorming and outlining, but less so for implementation or evaluation. Despite these concerns, students recognized ChatGPT's </w:t>
      </w:r>
      <w:r w:rsidR="0010311D" w:rsidRPr="00F762E1">
        <w:rPr>
          <w:rFonts w:ascii="Aptos Narrow" w:hAnsi="Aptos Narrow"/>
          <w:lang w:eastAsia="zh-CN"/>
        </w:rPr>
        <w:t xml:space="preserve">great </w:t>
      </w:r>
      <w:r w:rsidRPr="00F762E1">
        <w:rPr>
          <w:rFonts w:ascii="Aptos Narrow" w:hAnsi="Aptos Narrow"/>
        </w:rPr>
        <w:t>potential for promoting equity by offering 24/7 personalized support and aiding groups like non-native English speakers or neurodivergent learners. As one of the first studies to explore ownership of learning in this context, it highlights the necessity of providing comprehensive GenAI literacy training that addresses both ethical use and critical evaluation</w:t>
      </w:r>
      <w:r w:rsidR="00EE36FA">
        <w:rPr>
          <w:rFonts w:ascii="Aptos Narrow" w:hAnsi="Aptos Narrow" w:hint="eastAsia"/>
          <w:lang w:eastAsia="zh-CN"/>
        </w:rPr>
        <w:t xml:space="preserve"> of AI use</w:t>
      </w:r>
      <w:r w:rsidRPr="00F762E1">
        <w:rPr>
          <w:rFonts w:ascii="Aptos Narrow" w:hAnsi="Aptos Narrow"/>
        </w:rPr>
        <w:t>.</w:t>
      </w:r>
    </w:p>
    <w:p w14:paraId="6A47F894" w14:textId="7CD9B17F" w:rsidR="00310C12" w:rsidRDefault="00746421" w:rsidP="007F547E">
      <w:pPr>
        <w:rPr>
          <w:rFonts w:ascii="Aptos Narrow" w:hAnsi="Aptos Narrow"/>
          <w:b/>
          <w:bCs/>
        </w:rPr>
      </w:pPr>
      <w:r>
        <w:rPr>
          <w:rFonts w:ascii="Aptos Narrow" w:hAnsi="Aptos Narrow"/>
          <w:b/>
          <w:bCs/>
        </w:rPr>
        <w:t>References</w:t>
      </w:r>
    </w:p>
    <w:p w14:paraId="4A774EF4" w14:textId="77777777" w:rsidR="00746421" w:rsidRDefault="00746421" w:rsidP="00746421">
      <w:pPr>
        <w:rPr>
          <w:rFonts w:ascii="Aptos Narrow" w:hAnsi="Aptos Narrow"/>
          <w:lang w:eastAsia="zh-CN"/>
        </w:rPr>
      </w:pPr>
      <w:r w:rsidRPr="00F762E1">
        <w:rPr>
          <w:rFonts w:ascii="Aptos Narrow" w:hAnsi="Aptos Narrow"/>
        </w:rPr>
        <w:lastRenderedPageBreak/>
        <w:t>Yang, M., Luo, T., Herman, K., Li, B., Chappell Moots, S., Glaser, N., &amp; Jiang, S. (2025). Examining non-traditional online learners’ ownership of learning in the context of ChatGPT-facilitated design. </w:t>
      </w:r>
      <w:r w:rsidRPr="00F762E1">
        <w:rPr>
          <w:rFonts w:ascii="Aptos Narrow" w:hAnsi="Aptos Narrow"/>
          <w:i/>
          <w:iCs/>
        </w:rPr>
        <w:t xml:space="preserve">Journal of Computing in Higher Education, </w:t>
      </w:r>
      <w:r w:rsidRPr="00F762E1">
        <w:rPr>
          <w:rFonts w:ascii="Aptos Narrow" w:hAnsi="Aptos Narrow"/>
        </w:rPr>
        <w:t xml:space="preserve">1-33. </w:t>
      </w:r>
      <w:r w:rsidRPr="00C5570F">
        <w:rPr>
          <w:rFonts w:ascii="Aptos Narrow" w:hAnsi="Aptos Narrow"/>
        </w:rPr>
        <w:t>https://link.springer.com/article/10.1007/s12528-025-09476-y</w:t>
      </w:r>
    </w:p>
    <w:p w14:paraId="0699845B" w14:textId="77777777" w:rsidR="00746421" w:rsidRPr="00F762E1" w:rsidRDefault="00746421" w:rsidP="007F547E">
      <w:pPr>
        <w:rPr>
          <w:rFonts w:ascii="Aptos Narrow" w:hAnsi="Aptos Narrow"/>
          <w:b/>
          <w:bCs/>
        </w:rPr>
      </w:pPr>
    </w:p>
    <w:sectPr w:rsidR="00746421" w:rsidRPr="00F762E1" w:rsidSect="00E20A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5799" w14:textId="77777777" w:rsidR="00D507FE" w:rsidRDefault="00D507FE" w:rsidP="00A73C13">
      <w:pPr>
        <w:spacing w:after="0" w:line="240" w:lineRule="auto"/>
      </w:pPr>
      <w:r>
        <w:separator/>
      </w:r>
    </w:p>
  </w:endnote>
  <w:endnote w:type="continuationSeparator" w:id="0">
    <w:p w14:paraId="429E5359" w14:textId="77777777" w:rsidR="00D507FE" w:rsidRDefault="00D507FE" w:rsidP="00A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C65" w14:textId="77777777" w:rsidR="00A73C13" w:rsidRDefault="00A7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A15" w14:textId="77777777" w:rsidR="00A73C13" w:rsidRDefault="00A7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49C4" w14:textId="77777777" w:rsidR="00A73C13" w:rsidRDefault="00A7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19F" w14:textId="77777777" w:rsidR="00D507FE" w:rsidRDefault="00D507FE" w:rsidP="00A73C13">
      <w:pPr>
        <w:spacing w:after="0" w:line="240" w:lineRule="auto"/>
      </w:pPr>
      <w:r>
        <w:separator/>
      </w:r>
    </w:p>
  </w:footnote>
  <w:footnote w:type="continuationSeparator" w:id="0">
    <w:p w14:paraId="78EAB1DE" w14:textId="77777777" w:rsidR="00D507FE" w:rsidRDefault="00D507FE" w:rsidP="00A7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0EB" w14:textId="77777777" w:rsidR="00A73C13" w:rsidRDefault="00A7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16A" w14:textId="77777777" w:rsidR="00A73C13" w:rsidRDefault="00A7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2EBD" w14:textId="3CE877EF" w:rsidR="00A73C13" w:rsidRDefault="00A73C13">
    <w:pPr>
      <w:pStyle w:val="Header"/>
    </w:pPr>
    <w:r>
      <w:rPr>
        <w:noProof/>
      </w:rPr>
      <w:drawing>
        <wp:anchor distT="0" distB="0" distL="114300" distR="114300" simplePos="0" relativeHeight="251659264" behindDoc="0" locked="0" layoutInCell="1" allowOverlap="1" wp14:anchorId="3D4DEDE8" wp14:editId="20E594FD">
          <wp:simplePos x="0" y="0"/>
          <wp:positionH relativeFrom="column">
            <wp:posOffset>-557530</wp:posOffset>
          </wp:positionH>
          <wp:positionV relativeFrom="paragraph">
            <wp:posOffset>-73025</wp:posOffset>
          </wp:positionV>
          <wp:extent cx="7068312" cy="1088136"/>
          <wp:effectExtent l="0" t="0" r="0" b="4445"/>
          <wp:wrapSquare wrapText="bothSides"/>
          <wp:docPr id="327636214" name="Picture 3" descr="A blue and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6214" name="Picture 3" descr="A blue and yellow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8312" cy="10881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E"/>
    <w:rsid w:val="0000396F"/>
    <w:rsid w:val="00022010"/>
    <w:rsid w:val="0010311D"/>
    <w:rsid w:val="00163351"/>
    <w:rsid w:val="00193459"/>
    <w:rsid w:val="001B3856"/>
    <w:rsid w:val="001C2A7B"/>
    <w:rsid w:val="002376C2"/>
    <w:rsid w:val="002B3538"/>
    <w:rsid w:val="002B51D5"/>
    <w:rsid w:val="002F25F7"/>
    <w:rsid w:val="003017DD"/>
    <w:rsid w:val="00310C12"/>
    <w:rsid w:val="0033302A"/>
    <w:rsid w:val="00354FA2"/>
    <w:rsid w:val="003612F6"/>
    <w:rsid w:val="00370241"/>
    <w:rsid w:val="0038646B"/>
    <w:rsid w:val="00392FF7"/>
    <w:rsid w:val="003E6565"/>
    <w:rsid w:val="003F60DF"/>
    <w:rsid w:val="00412C79"/>
    <w:rsid w:val="00416531"/>
    <w:rsid w:val="0043321C"/>
    <w:rsid w:val="00436A14"/>
    <w:rsid w:val="004408B4"/>
    <w:rsid w:val="00455FF3"/>
    <w:rsid w:val="00457FBF"/>
    <w:rsid w:val="004615F3"/>
    <w:rsid w:val="00481A51"/>
    <w:rsid w:val="0048372C"/>
    <w:rsid w:val="00484E84"/>
    <w:rsid w:val="00487F2F"/>
    <w:rsid w:val="00495B4A"/>
    <w:rsid w:val="004B1017"/>
    <w:rsid w:val="004B1398"/>
    <w:rsid w:val="004C44F5"/>
    <w:rsid w:val="004C6C96"/>
    <w:rsid w:val="004D3307"/>
    <w:rsid w:val="00535EC5"/>
    <w:rsid w:val="005A122E"/>
    <w:rsid w:val="005A6667"/>
    <w:rsid w:val="005C163C"/>
    <w:rsid w:val="005C188D"/>
    <w:rsid w:val="005C27C8"/>
    <w:rsid w:val="005F3326"/>
    <w:rsid w:val="00631750"/>
    <w:rsid w:val="0063678C"/>
    <w:rsid w:val="00653474"/>
    <w:rsid w:val="00661837"/>
    <w:rsid w:val="006720BF"/>
    <w:rsid w:val="006871C0"/>
    <w:rsid w:val="006B46A7"/>
    <w:rsid w:val="006C13F0"/>
    <w:rsid w:val="006E2BBB"/>
    <w:rsid w:val="006E38A6"/>
    <w:rsid w:val="006E563A"/>
    <w:rsid w:val="006F6B48"/>
    <w:rsid w:val="0071455A"/>
    <w:rsid w:val="00717958"/>
    <w:rsid w:val="0072456C"/>
    <w:rsid w:val="0073796D"/>
    <w:rsid w:val="007448E5"/>
    <w:rsid w:val="00746421"/>
    <w:rsid w:val="007B7AA6"/>
    <w:rsid w:val="007F0AA5"/>
    <w:rsid w:val="007F30ED"/>
    <w:rsid w:val="007F547E"/>
    <w:rsid w:val="007F6CDF"/>
    <w:rsid w:val="00813098"/>
    <w:rsid w:val="00851B9A"/>
    <w:rsid w:val="00852A90"/>
    <w:rsid w:val="00852AEA"/>
    <w:rsid w:val="00862BB4"/>
    <w:rsid w:val="008D0AD1"/>
    <w:rsid w:val="008F6D62"/>
    <w:rsid w:val="0090180C"/>
    <w:rsid w:val="00902889"/>
    <w:rsid w:val="00904AB3"/>
    <w:rsid w:val="0091773A"/>
    <w:rsid w:val="00952440"/>
    <w:rsid w:val="00960146"/>
    <w:rsid w:val="009630A2"/>
    <w:rsid w:val="00965EC9"/>
    <w:rsid w:val="00982102"/>
    <w:rsid w:val="00994DE8"/>
    <w:rsid w:val="009C1265"/>
    <w:rsid w:val="009E667D"/>
    <w:rsid w:val="009F3D39"/>
    <w:rsid w:val="009F7DD2"/>
    <w:rsid w:val="00A01AE0"/>
    <w:rsid w:val="00A01F49"/>
    <w:rsid w:val="00A137DE"/>
    <w:rsid w:val="00A53132"/>
    <w:rsid w:val="00A621FF"/>
    <w:rsid w:val="00A634CB"/>
    <w:rsid w:val="00A73C13"/>
    <w:rsid w:val="00A82090"/>
    <w:rsid w:val="00A93F34"/>
    <w:rsid w:val="00AA0898"/>
    <w:rsid w:val="00AB5730"/>
    <w:rsid w:val="00AC0562"/>
    <w:rsid w:val="00AC2105"/>
    <w:rsid w:val="00AD0000"/>
    <w:rsid w:val="00AE3581"/>
    <w:rsid w:val="00AE7917"/>
    <w:rsid w:val="00B208D0"/>
    <w:rsid w:val="00B234B4"/>
    <w:rsid w:val="00B26F53"/>
    <w:rsid w:val="00B70E46"/>
    <w:rsid w:val="00B7113C"/>
    <w:rsid w:val="00B83CFE"/>
    <w:rsid w:val="00BA21F3"/>
    <w:rsid w:val="00BC1D7D"/>
    <w:rsid w:val="00C0014C"/>
    <w:rsid w:val="00C0085F"/>
    <w:rsid w:val="00C204DC"/>
    <w:rsid w:val="00C240F4"/>
    <w:rsid w:val="00C44A0D"/>
    <w:rsid w:val="00C5570F"/>
    <w:rsid w:val="00C55E4C"/>
    <w:rsid w:val="00CC1B7D"/>
    <w:rsid w:val="00CD50EF"/>
    <w:rsid w:val="00D24B0A"/>
    <w:rsid w:val="00D34084"/>
    <w:rsid w:val="00D35995"/>
    <w:rsid w:val="00D507FE"/>
    <w:rsid w:val="00D71FEB"/>
    <w:rsid w:val="00D75763"/>
    <w:rsid w:val="00D81EAE"/>
    <w:rsid w:val="00D87755"/>
    <w:rsid w:val="00D941D1"/>
    <w:rsid w:val="00DD0A21"/>
    <w:rsid w:val="00DE32BC"/>
    <w:rsid w:val="00DE5BE5"/>
    <w:rsid w:val="00DE6BCB"/>
    <w:rsid w:val="00DE7C5E"/>
    <w:rsid w:val="00DF4C9D"/>
    <w:rsid w:val="00E20A7D"/>
    <w:rsid w:val="00E34765"/>
    <w:rsid w:val="00E4360A"/>
    <w:rsid w:val="00E46E5B"/>
    <w:rsid w:val="00E47865"/>
    <w:rsid w:val="00E6413A"/>
    <w:rsid w:val="00E72559"/>
    <w:rsid w:val="00E8455A"/>
    <w:rsid w:val="00E904E7"/>
    <w:rsid w:val="00EB4CE1"/>
    <w:rsid w:val="00EC39AD"/>
    <w:rsid w:val="00ED0EC7"/>
    <w:rsid w:val="00EE36FA"/>
    <w:rsid w:val="00F31F39"/>
    <w:rsid w:val="00F4128F"/>
    <w:rsid w:val="00F41823"/>
    <w:rsid w:val="00F5037F"/>
    <w:rsid w:val="00F762E1"/>
    <w:rsid w:val="00F8769A"/>
    <w:rsid w:val="00FA6FD7"/>
    <w:rsid w:val="00FD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BAD8"/>
  <w15:chartTrackingRefBased/>
  <w15:docId w15:val="{8E6A38D9-A338-4B71-9FF4-2B6CEE44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13"/>
  </w:style>
  <w:style w:type="paragraph" w:styleId="Footer">
    <w:name w:val="footer"/>
    <w:basedOn w:val="Normal"/>
    <w:link w:val="FooterChar"/>
    <w:uiPriority w:val="99"/>
    <w:unhideWhenUsed/>
    <w:rsid w:val="00A7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13"/>
  </w:style>
  <w:style w:type="paragraph" w:styleId="Title">
    <w:name w:val="Title"/>
    <w:basedOn w:val="Normal"/>
    <w:next w:val="Normal"/>
    <w:link w:val="TitleChar"/>
    <w:uiPriority w:val="10"/>
    <w:qFormat/>
    <w:rsid w:val="007B7AA6"/>
    <w:pPr>
      <w:jc w:val="center"/>
    </w:pPr>
    <w:rPr>
      <w:rFonts w:ascii="Aptos Narrow" w:hAnsi="Aptos Narrow" w:cs="Arial"/>
      <w:b/>
      <w:bCs/>
      <w:sz w:val="32"/>
      <w:szCs w:val="32"/>
    </w:rPr>
  </w:style>
  <w:style w:type="character" w:customStyle="1" w:styleId="TitleChar">
    <w:name w:val="Title Char"/>
    <w:basedOn w:val="DefaultParagraphFont"/>
    <w:link w:val="Title"/>
    <w:uiPriority w:val="10"/>
    <w:rsid w:val="007B7AA6"/>
    <w:rPr>
      <w:rFonts w:ascii="Aptos Narrow" w:hAnsi="Aptos Narrow" w:cs="Arial"/>
      <w:b/>
      <w:bCs/>
      <w:sz w:val="32"/>
      <w:szCs w:val="32"/>
    </w:rPr>
  </w:style>
  <w:style w:type="character" w:styleId="Emphasis">
    <w:name w:val="Emphasis"/>
    <w:basedOn w:val="DefaultParagraphFont"/>
    <w:uiPriority w:val="20"/>
    <w:qFormat/>
    <w:rsid w:val="00852AEA"/>
    <w:rPr>
      <w:i/>
      <w:iCs/>
    </w:rPr>
  </w:style>
  <w:style w:type="paragraph" w:customStyle="1" w:styleId="Pa10">
    <w:name w:val="Pa10"/>
    <w:basedOn w:val="Normal"/>
    <w:next w:val="Normal"/>
    <w:uiPriority w:val="99"/>
    <w:rsid w:val="008F6D62"/>
    <w:pPr>
      <w:autoSpaceDE w:val="0"/>
      <w:autoSpaceDN w:val="0"/>
      <w:adjustRightInd w:val="0"/>
      <w:spacing w:after="0" w:line="201" w:lineRule="atLeast"/>
    </w:pPr>
    <w:rPr>
      <w:rFonts w:ascii="Times New Roman" w:hAnsi="Times New Roman" w:cs="Times New Roman"/>
      <w:kern w:val="0"/>
      <w:sz w:val="24"/>
      <w:szCs w:val="24"/>
    </w:rPr>
  </w:style>
  <w:style w:type="paragraph" w:styleId="NormalWeb">
    <w:name w:val="Normal (Web)"/>
    <w:basedOn w:val="Normal"/>
    <w:uiPriority w:val="99"/>
    <w:semiHidden/>
    <w:unhideWhenUsed/>
    <w:rsid w:val="006B46A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6B46A7"/>
    <w:rPr>
      <w:b/>
      <w:bCs/>
    </w:rPr>
  </w:style>
  <w:style w:type="character" w:customStyle="1" w:styleId="ng-star-inserted">
    <w:name w:val="ng-star-inserted"/>
    <w:basedOn w:val="DefaultParagraphFont"/>
    <w:rsid w:val="00965EC9"/>
  </w:style>
  <w:style w:type="character" w:styleId="Hyperlink">
    <w:name w:val="Hyperlink"/>
    <w:basedOn w:val="DefaultParagraphFont"/>
    <w:uiPriority w:val="99"/>
    <w:unhideWhenUsed/>
    <w:rsid w:val="00C5570F"/>
    <w:rPr>
      <w:color w:val="0563C1" w:themeColor="hyperlink"/>
      <w:u w:val="single"/>
    </w:rPr>
  </w:style>
  <w:style w:type="character" w:styleId="UnresolvedMention">
    <w:name w:val="Unresolved Mention"/>
    <w:basedOn w:val="DefaultParagraphFont"/>
    <w:uiPriority w:val="99"/>
    <w:semiHidden/>
    <w:unhideWhenUsed/>
    <w:rsid w:val="00C5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1650</Words>
  <Characters>11027</Characters>
  <Application>Microsoft Office Word</Application>
  <DocSecurity>0</DocSecurity>
  <Lines>282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Crompton, Helen</cp:lastModifiedBy>
  <cp:revision>124</cp:revision>
  <dcterms:created xsi:type="dcterms:W3CDTF">2025-12-17T19:02:00Z</dcterms:created>
  <dcterms:modified xsi:type="dcterms:W3CDTF">2025-12-19T17:01:00Z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7245db90-9409-4409-8c60-dcc05b45fec1</vt:lpwstr>
  </property>
</Properties>
</file>