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C600" w14:textId="13C135EF" w:rsidR="007B7AA6" w:rsidRPr="00933382" w:rsidRDefault="007B7AA6" w:rsidP="007B7AA6">
      <w:pPr>
        <w:pStyle w:val="Title"/>
      </w:pPr>
      <w:r w:rsidRPr="00933382">
        <w:t>Faculty Research</w:t>
      </w:r>
    </w:p>
    <w:p w14:paraId="599E9DC0" w14:textId="3DA14B03" w:rsidR="00487F2F" w:rsidRPr="00933382" w:rsidRDefault="0063070B" w:rsidP="0063070B">
      <w:pPr>
        <w:jc w:val="center"/>
        <w:rPr>
          <w:rFonts w:ascii="Aptos Narrow" w:hAnsi="Aptos Narrow"/>
          <w:b/>
          <w:bCs/>
        </w:rPr>
      </w:pPr>
      <w:r w:rsidRPr="00933382">
        <w:rPr>
          <w:rFonts w:ascii="Aptos Narrow" w:hAnsi="Aptos Narrow"/>
          <w:b/>
          <w:bCs/>
        </w:rPr>
        <w:t>Teaching and Learning with Large Language Models in Graduate Education: Balancing Innovation and Integrity</w:t>
      </w:r>
    </w:p>
    <w:p w14:paraId="5AA33C48" w14:textId="754E6545" w:rsidR="007F547E" w:rsidRPr="00933382" w:rsidRDefault="007F547E" w:rsidP="007F547E">
      <w:pPr>
        <w:rPr>
          <w:rFonts w:ascii="Aptos Narrow" w:hAnsi="Aptos Narrow"/>
        </w:rPr>
      </w:pPr>
      <w:r w:rsidRPr="00933382">
        <w:rPr>
          <w:rFonts w:ascii="Aptos Narrow" w:hAnsi="Aptos Narrow"/>
        </w:rPr>
        <w:t>This white paper provides a summary of the work from:</w:t>
      </w:r>
    </w:p>
    <w:p w14:paraId="61FFF219" w14:textId="51D7ADD1" w:rsidR="007F547E" w:rsidRPr="00933382" w:rsidRDefault="005F7D79" w:rsidP="007F547E">
      <w:pPr>
        <w:rPr>
          <w:rFonts w:ascii="Aptos Narrow" w:hAnsi="Aptos Narrow"/>
        </w:rPr>
      </w:pPr>
      <w:r w:rsidRPr="00933382">
        <w:rPr>
          <w:rFonts w:ascii="Aptos Narrow" w:hAnsi="Aptos Narrow"/>
          <w:i/>
          <w:iCs/>
        </w:rPr>
        <w:t>M. Nazzal, “Teaching and Learning with Large Language Models in Graduate Education: Balancing Innovation and Integrity.”</w:t>
      </w:r>
    </w:p>
    <w:p w14:paraId="17A4F901" w14:textId="22EBEA37" w:rsidR="00495B4A" w:rsidRPr="00933382" w:rsidRDefault="00495B4A" w:rsidP="007F547E">
      <w:pPr>
        <w:rPr>
          <w:rFonts w:ascii="Aptos Narrow" w:hAnsi="Aptos Narrow"/>
          <w:b/>
          <w:bCs/>
        </w:rPr>
      </w:pPr>
      <w:r w:rsidRPr="00933382">
        <w:rPr>
          <w:rFonts w:ascii="Aptos Narrow" w:hAnsi="Aptos Narrow"/>
          <w:b/>
          <w:bCs/>
        </w:rPr>
        <w:t xml:space="preserve">Research Author Bio: </w:t>
      </w:r>
    </w:p>
    <w:p w14:paraId="0E4DB37F" w14:textId="2A94B856" w:rsidR="003612F6" w:rsidRPr="00933382" w:rsidRDefault="00F00E58" w:rsidP="007F547E">
      <w:pPr>
        <w:rPr>
          <w:rFonts w:ascii="Aptos Narrow" w:hAnsi="Aptos Narrow"/>
          <w:i/>
          <w:iCs/>
        </w:rPr>
      </w:pPr>
      <w:r w:rsidRPr="00933382">
        <w:rPr>
          <w:rFonts w:ascii="Aptos Narrow" w:hAnsi="Aptos Narrow"/>
          <w:i/>
          <w:iCs/>
        </w:rPr>
        <w:t>Mahmoud Nazzal, Ph.D., Assistant Professor</w:t>
      </w:r>
    </w:p>
    <w:p w14:paraId="0E3B908B" w14:textId="5189321F" w:rsidR="005C188D" w:rsidRPr="00933382" w:rsidRDefault="005C188D" w:rsidP="005C188D">
      <w:pPr>
        <w:rPr>
          <w:rFonts w:ascii="Aptos Narrow" w:hAnsi="Aptos Narrow"/>
          <w:b/>
          <w:bCs/>
        </w:rPr>
      </w:pPr>
      <w:r w:rsidRPr="00933382">
        <w:rPr>
          <w:rFonts w:ascii="Aptos Narrow" w:hAnsi="Aptos Narrow"/>
          <w:b/>
          <w:bCs/>
        </w:rPr>
        <w:t xml:space="preserve">White Paper Author: </w:t>
      </w:r>
    </w:p>
    <w:p w14:paraId="1E24E550" w14:textId="26708101" w:rsidR="005C188D" w:rsidRPr="00933382" w:rsidRDefault="00F00E58" w:rsidP="00F00E58">
      <w:pPr>
        <w:rPr>
          <w:rFonts w:ascii="Aptos Narrow" w:hAnsi="Aptos Narrow"/>
          <w:i/>
          <w:iCs/>
        </w:rPr>
      </w:pPr>
      <w:r w:rsidRPr="00933382">
        <w:rPr>
          <w:rFonts w:ascii="Aptos Narrow" w:hAnsi="Aptos Narrow"/>
          <w:i/>
          <w:iCs/>
        </w:rPr>
        <w:t>Mahmoud Nazzal</w:t>
      </w:r>
    </w:p>
    <w:p w14:paraId="2D8CF5A2" w14:textId="77777777" w:rsidR="002C2125" w:rsidRPr="00933382" w:rsidRDefault="002C2125" w:rsidP="007F547E">
      <w:pPr>
        <w:rPr>
          <w:rFonts w:ascii="Aptos Narrow" w:hAnsi="Aptos Narrow"/>
          <w:b/>
          <w:bCs/>
        </w:rPr>
      </w:pPr>
    </w:p>
    <w:p w14:paraId="14CA1F95" w14:textId="74C7BC3A" w:rsidR="00310C12" w:rsidRPr="00933382" w:rsidRDefault="00310C12" w:rsidP="007F547E">
      <w:pPr>
        <w:rPr>
          <w:rFonts w:ascii="Aptos Narrow" w:hAnsi="Aptos Narrow"/>
          <w:b/>
          <w:bCs/>
        </w:rPr>
      </w:pPr>
      <w:r w:rsidRPr="00933382">
        <w:rPr>
          <w:rFonts w:ascii="Aptos Narrow" w:hAnsi="Aptos Narrow"/>
          <w:b/>
          <w:bCs/>
        </w:rPr>
        <w:t>Overview</w:t>
      </w:r>
    </w:p>
    <w:p w14:paraId="286FC009" w14:textId="638ACBBC" w:rsidR="003612F6" w:rsidRPr="00933382" w:rsidRDefault="008B70F3" w:rsidP="00F454FF">
      <w:pPr>
        <w:jc w:val="both"/>
        <w:rPr>
          <w:rFonts w:ascii="Aptos Narrow" w:hAnsi="Aptos Narrow"/>
        </w:rPr>
      </w:pPr>
      <w:r w:rsidRPr="00933382">
        <w:rPr>
          <w:rFonts w:ascii="Aptos Narrow" w:hAnsi="Aptos Narrow"/>
        </w:rPr>
        <w:t>Large Language Models (LLMs) are rapidly influencing how knowledge is produced, communicated, and evaluated across academic disciplines. In graduate education, these systems present significant opportunities to enhance research, writing, and learning experiences, while also raising new challenges related to academic integrity, authorship, and assessment. This white paper explores how LLMs can be incorporated into graduate teaching in ways that support innovation while maintaining the core values of rigor, transparency, and ethical responsibility.</w:t>
      </w:r>
      <w:r w:rsidR="00665E07">
        <w:rPr>
          <w:rFonts w:ascii="Aptos Narrow" w:hAnsi="Aptos Narrow"/>
        </w:rPr>
        <w:t xml:space="preserve"> </w:t>
      </w:r>
      <w:r w:rsidR="00665E07" w:rsidRPr="00665E07">
        <w:rPr>
          <w:rFonts w:ascii="Aptos Narrow" w:hAnsi="Aptos Narrow"/>
        </w:rPr>
        <w:t>These perspectives are informed by the author’s experience teaching graduate-level courses during the rapid adoption of LLMs, alongside engagement with current research and policy guidance on AI in education.</w:t>
      </w:r>
    </w:p>
    <w:p w14:paraId="710DE1A3" w14:textId="7CB9C5A8" w:rsidR="00310C12" w:rsidRPr="00933382" w:rsidRDefault="00310C12" w:rsidP="007F547E">
      <w:pPr>
        <w:rPr>
          <w:rFonts w:ascii="Aptos Narrow" w:hAnsi="Aptos Narrow"/>
          <w:b/>
          <w:bCs/>
        </w:rPr>
      </w:pPr>
      <w:r w:rsidRPr="00933382">
        <w:rPr>
          <w:rFonts w:ascii="Aptos Narrow" w:hAnsi="Aptos Narrow"/>
          <w:b/>
          <w:bCs/>
        </w:rPr>
        <w:t>Purpose of the Research</w:t>
      </w:r>
    </w:p>
    <w:p w14:paraId="332E9B97" w14:textId="47C9F2DD" w:rsidR="00B75571" w:rsidRPr="00933382" w:rsidRDefault="00B75571" w:rsidP="00F454FF">
      <w:pPr>
        <w:jc w:val="both"/>
        <w:rPr>
          <w:rFonts w:ascii="Aptos Narrow" w:hAnsi="Aptos Narrow"/>
        </w:rPr>
      </w:pPr>
      <w:r w:rsidRPr="00933382">
        <w:rPr>
          <w:rFonts w:ascii="Aptos Narrow" w:hAnsi="Aptos Narrow"/>
        </w:rPr>
        <w:t xml:space="preserve">This white paper examines how the increasing use of </w:t>
      </w:r>
      <w:r w:rsidR="000E2D55">
        <w:rPr>
          <w:rFonts w:ascii="Aptos Narrow" w:hAnsi="Aptos Narrow"/>
        </w:rPr>
        <w:t>LLMs</w:t>
      </w:r>
      <w:r w:rsidRPr="00933382">
        <w:rPr>
          <w:rFonts w:ascii="Aptos Narrow" w:hAnsi="Aptos Narrow"/>
        </w:rPr>
        <w:t xml:space="preserve"> is reshaping graduate teaching and learning. </w:t>
      </w:r>
      <w:r w:rsidR="00137BB2">
        <w:rPr>
          <w:rFonts w:ascii="Aptos Narrow" w:hAnsi="Aptos Narrow"/>
        </w:rPr>
        <w:t>This is done by identifying</w:t>
      </w:r>
      <w:r w:rsidRPr="00933382">
        <w:rPr>
          <w:rFonts w:ascii="Aptos Narrow" w:hAnsi="Aptos Narrow"/>
        </w:rPr>
        <w:t xml:space="preserve"> practical strategies for responsible adoption that balance educational benefits with the need to preserve</w:t>
      </w:r>
      <w:r w:rsidR="00176670">
        <w:rPr>
          <w:rFonts w:ascii="Aptos Narrow" w:hAnsi="Aptos Narrow"/>
        </w:rPr>
        <w:t xml:space="preserve"> and practice</w:t>
      </w:r>
      <w:r w:rsidRPr="00933382">
        <w:rPr>
          <w:rFonts w:ascii="Aptos Narrow" w:hAnsi="Aptos Narrow"/>
        </w:rPr>
        <w:t xml:space="preserve"> intellectual independence, scholarly integrity, and ethical standards [1], [2].</w:t>
      </w:r>
    </w:p>
    <w:p w14:paraId="225E8CE3" w14:textId="626E0E7C" w:rsidR="003612F6" w:rsidRPr="00933382" w:rsidRDefault="003612F6" w:rsidP="007F547E">
      <w:pPr>
        <w:rPr>
          <w:rFonts w:ascii="Aptos Narrow" w:hAnsi="Aptos Narrow"/>
          <w:b/>
          <w:bCs/>
        </w:rPr>
      </w:pPr>
      <w:r w:rsidRPr="00933382">
        <w:rPr>
          <w:rFonts w:ascii="Aptos Narrow" w:hAnsi="Aptos Narrow"/>
          <w:b/>
          <w:bCs/>
        </w:rPr>
        <w:t>Method</w:t>
      </w:r>
    </w:p>
    <w:p w14:paraId="0F6ED292" w14:textId="639B46E5" w:rsidR="00B81EEA" w:rsidRDefault="00B81EEA" w:rsidP="00F454FF">
      <w:pPr>
        <w:jc w:val="both"/>
        <w:rPr>
          <w:rFonts w:ascii="Aptos Narrow" w:hAnsi="Aptos Narrow"/>
        </w:rPr>
      </w:pPr>
      <w:r w:rsidRPr="00B81EEA">
        <w:rPr>
          <w:rFonts w:ascii="Aptos Narrow" w:hAnsi="Aptos Narrow"/>
        </w:rPr>
        <w:t xml:space="preserve">This white paper is based on a conceptual synthesis of recent research, policy guidance, and current educational practices related to </w:t>
      </w:r>
      <w:r w:rsidR="00AA1758">
        <w:rPr>
          <w:rFonts w:ascii="Aptos Narrow" w:hAnsi="Aptos Narrow"/>
        </w:rPr>
        <w:t>LLMs</w:t>
      </w:r>
      <w:r w:rsidRPr="00B81EEA">
        <w:rPr>
          <w:rFonts w:ascii="Aptos Narrow" w:hAnsi="Aptos Narrow"/>
        </w:rPr>
        <w:t xml:space="preserve"> in higher education. It combines interdisciplinary scholarship with the author’s experience teaching graduate-level courses during the widespread use of LLMs to examine educational opportunities, integrity risks, and institutional considerations. These perspectives inform the development of a practical framework relevant to graduate education at ODU [1], [2].</w:t>
      </w:r>
    </w:p>
    <w:p w14:paraId="55E1E258" w14:textId="77777777" w:rsidR="00817C8D" w:rsidRDefault="00817C8D" w:rsidP="00B81EEA">
      <w:pPr>
        <w:rPr>
          <w:rFonts w:ascii="Aptos Narrow" w:hAnsi="Aptos Narrow"/>
          <w:b/>
          <w:bCs/>
        </w:rPr>
      </w:pPr>
    </w:p>
    <w:p w14:paraId="1BEF14FF" w14:textId="09492375" w:rsidR="002376C2" w:rsidRPr="00933382" w:rsidRDefault="002376C2" w:rsidP="00B81EEA">
      <w:pPr>
        <w:rPr>
          <w:rFonts w:ascii="Aptos Narrow" w:hAnsi="Aptos Narrow"/>
          <w:b/>
          <w:bCs/>
        </w:rPr>
      </w:pPr>
      <w:r w:rsidRPr="00933382">
        <w:rPr>
          <w:rFonts w:ascii="Aptos Narrow" w:hAnsi="Aptos Narrow"/>
          <w:b/>
          <w:bCs/>
        </w:rPr>
        <w:lastRenderedPageBreak/>
        <w:t>Findings</w:t>
      </w:r>
      <w:r w:rsidR="00A621FF" w:rsidRPr="00933382">
        <w:rPr>
          <w:rFonts w:ascii="Aptos Narrow" w:hAnsi="Aptos Narrow"/>
          <w:b/>
          <w:bCs/>
        </w:rPr>
        <w:t xml:space="preserve"> and Discussion</w:t>
      </w:r>
      <w:r w:rsidRPr="00933382">
        <w:rPr>
          <w:rFonts w:ascii="Aptos Narrow" w:hAnsi="Aptos Narrow"/>
          <w:b/>
          <w:bCs/>
        </w:rPr>
        <w:t xml:space="preserve"> </w:t>
      </w:r>
    </w:p>
    <w:p w14:paraId="7FC9243B" w14:textId="2BB52792" w:rsidR="00975FEE" w:rsidRPr="00975FEE" w:rsidRDefault="00975FEE" w:rsidP="00F454FF">
      <w:pPr>
        <w:jc w:val="both"/>
        <w:rPr>
          <w:rFonts w:ascii="Aptos Narrow" w:hAnsi="Aptos Narrow"/>
        </w:rPr>
      </w:pPr>
      <w:r w:rsidRPr="00975FEE">
        <w:rPr>
          <w:rFonts w:ascii="Aptos Narrow" w:hAnsi="Aptos Narrow"/>
        </w:rPr>
        <w:t xml:space="preserve">The analysis highlights several ways in which </w:t>
      </w:r>
      <w:r w:rsidR="005C53DB">
        <w:rPr>
          <w:rFonts w:ascii="Aptos Narrow" w:hAnsi="Aptos Narrow"/>
        </w:rPr>
        <w:t>LLMs</w:t>
      </w:r>
      <w:r w:rsidRPr="00975FEE">
        <w:rPr>
          <w:rFonts w:ascii="Aptos Narrow" w:hAnsi="Aptos Narrow"/>
        </w:rPr>
        <w:t xml:space="preserve"> can strengthen graduate teaching and learning at ODU</w:t>
      </w:r>
      <w:r w:rsidR="00C620D1">
        <w:rPr>
          <w:rFonts w:ascii="Aptos Narrow" w:hAnsi="Aptos Narrow"/>
        </w:rPr>
        <w:t xml:space="preserve"> as an example </w:t>
      </w:r>
      <w:r w:rsidR="00C621A0">
        <w:rPr>
          <w:rFonts w:ascii="Aptos Narrow" w:hAnsi="Aptos Narrow"/>
        </w:rPr>
        <w:t>environment</w:t>
      </w:r>
      <w:r w:rsidRPr="00975FEE">
        <w:rPr>
          <w:rFonts w:ascii="Aptos Narrow" w:hAnsi="Aptos Narrow"/>
        </w:rPr>
        <w:t>. It also identifies risks that require deliberate pedagogical and institutional responses. Together, these findings provide guidance for faculty across disciplines as generative AI becomes more common in academic settings.</w:t>
      </w:r>
    </w:p>
    <w:p w14:paraId="5F492BED" w14:textId="69355F12" w:rsidR="00975FEE" w:rsidRPr="00975FEE" w:rsidRDefault="00975FEE" w:rsidP="00F454FF">
      <w:pPr>
        <w:jc w:val="both"/>
        <w:rPr>
          <w:rFonts w:ascii="Aptos Narrow" w:hAnsi="Aptos Narrow"/>
          <w:b/>
          <w:bCs/>
        </w:rPr>
      </w:pPr>
      <w:r w:rsidRPr="00975FEE">
        <w:rPr>
          <w:rFonts w:ascii="Aptos Narrow" w:hAnsi="Aptos Narrow"/>
          <w:b/>
          <w:bCs/>
        </w:rPr>
        <w:t>Opportunities for Graduate Teaching and Learning</w:t>
      </w:r>
      <w:r w:rsidR="009458BA">
        <w:rPr>
          <w:rFonts w:ascii="Aptos Narrow" w:hAnsi="Aptos Narrow"/>
          <w:b/>
          <w:bCs/>
        </w:rPr>
        <w:t xml:space="preserve">. </w:t>
      </w:r>
      <w:r w:rsidR="00B20310" w:rsidRPr="00B20310">
        <w:rPr>
          <w:rFonts w:ascii="Aptos Narrow" w:hAnsi="Aptos Narrow"/>
        </w:rPr>
        <w:t xml:space="preserve">As LLMs become </w:t>
      </w:r>
      <w:r w:rsidR="002D279A">
        <w:rPr>
          <w:rFonts w:ascii="Aptos Narrow" w:hAnsi="Aptos Narrow"/>
        </w:rPr>
        <w:t xml:space="preserve">inevitably </w:t>
      </w:r>
      <w:r w:rsidR="00B20310" w:rsidRPr="00B20310">
        <w:rPr>
          <w:rFonts w:ascii="Aptos Narrow" w:hAnsi="Aptos Narrow"/>
        </w:rPr>
        <w:t>embedded in graduate education, faculty roles increasingly shift from content delivery toward the design, guidance, and evaluation of inquiry-driven learning processes.</w:t>
      </w:r>
      <w:r w:rsidR="00B20310">
        <w:rPr>
          <w:rFonts w:ascii="Aptos Narrow" w:hAnsi="Aptos Narrow"/>
        </w:rPr>
        <w:t xml:space="preserve"> </w:t>
      </w:r>
      <w:r w:rsidRPr="00975FEE">
        <w:rPr>
          <w:rFonts w:ascii="Aptos Narrow" w:hAnsi="Aptos Narrow"/>
        </w:rPr>
        <w:t xml:space="preserve">LLMs can support graduate research by helping students engage with large and complex bodies of literature. They can assist with identifying </w:t>
      </w:r>
      <w:r w:rsidR="00D95AE2">
        <w:rPr>
          <w:rFonts w:ascii="Aptos Narrow" w:hAnsi="Aptos Narrow"/>
        </w:rPr>
        <w:t xml:space="preserve">research </w:t>
      </w:r>
      <w:r w:rsidRPr="00975FEE">
        <w:rPr>
          <w:rFonts w:ascii="Aptos Narrow" w:hAnsi="Aptos Narrow"/>
        </w:rPr>
        <w:t xml:space="preserve">themes, comparing theoretical perspectives, and clarifying unfamiliar concepts. </w:t>
      </w:r>
      <w:r w:rsidR="00D11789">
        <w:rPr>
          <w:rFonts w:ascii="Aptos Narrow" w:hAnsi="Aptos Narrow"/>
        </w:rPr>
        <w:t>Overall, w</w:t>
      </w:r>
      <w:r w:rsidRPr="00975FEE">
        <w:rPr>
          <w:rFonts w:ascii="Aptos Narrow" w:hAnsi="Aptos Narrow"/>
        </w:rPr>
        <w:t>hen used as exploratory tools rather than authoritative sources, LLMs allow students to focus on interpretation, synthesis, and original thinking instead of routine information gathering [3].</w:t>
      </w:r>
    </w:p>
    <w:p w14:paraId="15271A89" w14:textId="77777777" w:rsidR="00975FEE" w:rsidRPr="00975FEE" w:rsidRDefault="00975FEE" w:rsidP="00F454FF">
      <w:pPr>
        <w:jc w:val="both"/>
        <w:rPr>
          <w:rFonts w:ascii="Aptos Narrow" w:hAnsi="Aptos Narrow"/>
        </w:rPr>
      </w:pPr>
      <w:r w:rsidRPr="00975FEE">
        <w:rPr>
          <w:rFonts w:ascii="Aptos Narrow" w:hAnsi="Aptos Narrow"/>
        </w:rPr>
        <w:t>LLMs can also support the development and refinement of research ideas. Students may use them to clarify research questions, surface assumptions, or explore alternative framings. Encouraging students to engage with LLMs before advising meetings or proposal reviews can lead to more focused discussions centered on novelty, feasibility, and scholarly contribution.</w:t>
      </w:r>
    </w:p>
    <w:p w14:paraId="061B6C62" w14:textId="1C4865E1" w:rsidR="00975FEE" w:rsidRPr="00975FEE" w:rsidRDefault="00975FEE" w:rsidP="00F454FF">
      <w:pPr>
        <w:jc w:val="both"/>
        <w:rPr>
          <w:rFonts w:ascii="Aptos Narrow" w:hAnsi="Aptos Narrow"/>
        </w:rPr>
      </w:pPr>
      <w:r w:rsidRPr="00975FEE">
        <w:rPr>
          <w:rFonts w:ascii="Aptos Narrow" w:hAnsi="Aptos Narrow"/>
        </w:rPr>
        <w:t xml:space="preserve">In academic writing, LLMs can improve clarity, organization, and tone. This support is especially helpful for multilingual students or those new to disciplinary conventions. When used transparently, such assistance promotes equity by allowing students to focus on argumentation and evidence rather than language barriers [4], [2]. </w:t>
      </w:r>
      <w:r w:rsidR="00544A5F">
        <w:rPr>
          <w:rFonts w:ascii="Aptos Narrow" w:hAnsi="Aptos Narrow"/>
        </w:rPr>
        <w:t>Besides, w</w:t>
      </w:r>
      <w:r w:rsidRPr="00975FEE">
        <w:rPr>
          <w:rFonts w:ascii="Aptos Narrow" w:hAnsi="Aptos Narrow"/>
        </w:rPr>
        <w:t>riting assignments that include reflection on AI-assisted revisions can further reinforce authorial responsibility.</w:t>
      </w:r>
      <w:r w:rsidR="000C4F35">
        <w:rPr>
          <w:rFonts w:ascii="Aptos Narrow" w:hAnsi="Aptos Narrow"/>
        </w:rPr>
        <w:t xml:space="preserve"> Moreover, </w:t>
      </w:r>
      <w:r w:rsidRPr="00975FEE">
        <w:rPr>
          <w:rFonts w:ascii="Aptos Narrow" w:hAnsi="Aptos Narrow"/>
        </w:rPr>
        <w:t xml:space="preserve">LLMs also enable pedagogical personalization. Graduate classrooms often include students with diverse academic backgrounds and levels of preparation. LLMs can adapt explanations, generate discipline-specific examples, or simulate dialogue to support individualized learning. </w:t>
      </w:r>
      <w:r w:rsidR="00546A31">
        <w:rPr>
          <w:rFonts w:ascii="Aptos Narrow" w:hAnsi="Aptos Narrow"/>
        </w:rPr>
        <w:t>Furthermore, i</w:t>
      </w:r>
      <w:r w:rsidRPr="00975FEE">
        <w:rPr>
          <w:rFonts w:ascii="Aptos Narrow" w:hAnsi="Aptos Narrow"/>
        </w:rPr>
        <w:t>n seminar-based courses, this flexibility can enhance inquiry-driven engagement while still supporting collective discussion and critique [5].</w:t>
      </w:r>
      <w:r w:rsidR="00B47613">
        <w:rPr>
          <w:rFonts w:ascii="Aptos Narrow" w:hAnsi="Aptos Narrow"/>
        </w:rPr>
        <w:t xml:space="preserve"> </w:t>
      </w:r>
      <w:r w:rsidR="007C1BA9">
        <w:rPr>
          <w:rFonts w:ascii="Aptos Narrow" w:hAnsi="Aptos Narrow"/>
        </w:rPr>
        <w:t>Also</w:t>
      </w:r>
      <w:r w:rsidRPr="00975FEE">
        <w:rPr>
          <w:rFonts w:ascii="Aptos Narrow" w:hAnsi="Aptos Narrow"/>
        </w:rPr>
        <w:t>, engagement with LLM-based workflows supports the development of professional and AI literacy skills. Learning how to evaluate AI outputs and reason about system limitations prepares graduate students for research</w:t>
      </w:r>
      <w:r w:rsidR="00DF612C">
        <w:rPr>
          <w:rFonts w:ascii="Aptos Narrow" w:hAnsi="Aptos Narrow"/>
        </w:rPr>
        <w:t xml:space="preserve"> and</w:t>
      </w:r>
      <w:r w:rsidRPr="00975FEE">
        <w:rPr>
          <w:rFonts w:ascii="Aptos Narrow" w:hAnsi="Aptos Narrow"/>
        </w:rPr>
        <w:t xml:space="preserve"> industry</w:t>
      </w:r>
      <w:r w:rsidR="00DF612C">
        <w:rPr>
          <w:rFonts w:ascii="Aptos Narrow" w:hAnsi="Aptos Narrow"/>
        </w:rPr>
        <w:t xml:space="preserve"> </w:t>
      </w:r>
      <w:r w:rsidRPr="00975FEE">
        <w:rPr>
          <w:rFonts w:ascii="Aptos Narrow" w:hAnsi="Aptos Narrow"/>
        </w:rPr>
        <w:t>environments where such tools are increasingly common.</w:t>
      </w:r>
    </w:p>
    <w:p w14:paraId="37C0E994" w14:textId="69900C87" w:rsidR="00975FEE" w:rsidRPr="00E01F67" w:rsidRDefault="00975FEE" w:rsidP="00F454FF">
      <w:pPr>
        <w:jc w:val="both"/>
        <w:rPr>
          <w:rFonts w:ascii="Aptos Narrow" w:hAnsi="Aptos Narrow"/>
          <w:b/>
          <w:bCs/>
        </w:rPr>
      </w:pPr>
      <w:r w:rsidRPr="00975FEE">
        <w:rPr>
          <w:rFonts w:ascii="Aptos Narrow" w:hAnsi="Aptos Narrow"/>
          <w:b/>
          <w:bCs/>
        </w:rPr>
        <w:t>Integrity Risks and Pedagogical Challenges</w:t>
      </w:r>
      <w:r w:rsidR="009458BA">
        <w:rPr>
          <w:rFonts w:ascii="Aptos Narrow" w:hAnsi="Aptos Narrow"/>
          <w:b/>
          <w:bCs/>
        </w:rPr>
        <w:t xml:space="preserve">. </w:t>
      </w:r>
      <w:r w:rsidRPr="00975FEE">
        <w:rPr>
          <w:rFonts w:ascii="Aptos Narrow" w:hAnsi="Aptos Narrow"/>
        </w:rPr>
        <w:t>The use of LLMs introduces important integrity-related challenges. Authorship and attribution become less clear when student work combines human reasoning with algorithmic assistance. Without clear expectations, this ambiguity can undermine fairness and trust in evaluation. Explicit disclosure policies and shared norms are therefore essential [6].</w:t>
      </w:r>
      <w:r w:rsidR="003B4CD6">
        <w:rPr>
          <w:rFonts w:ascii="Aptos Narrow" w:hAnsi="Aptos Narrow"/>
          <w:b/>
          <w:bCs/>
        </w:rPr>
        <w:t xml:space="preserve"> </w:t>
      </w:r>
      <w:r w:rsidRPr="00975FEE">
        <w:rPr>
          <w:rFonts w:ascii="Aptos Narrow" w:hAnsi="Aptos Narrow"/>
        </w:rPr>
        <w:t xml:space="preserve">There is also a risk of overreliance on automated reasoning. If students accept AI-generated outputs </w:t>
      </w:r>
      <w:r w:rsidR="00BD76EC">
        <w:rPr>
          <w:rFonts w:ascii="Aptos Narrow" w:hAnsi="Aptos Narrow"/>
        </w:rPr>
        <w:t xml:space="preserve">(for granted) </w:t>
      </w:r>
      <w:r w:rsidRPr="00975FEE">
        <w:rPr>
          <w:rFonts w:ascii="Aptos Narrow" w:hAnsi="Aptos Narrow"/>
        </w:rPr>
        <w:t xml:space="preserve">without critical evaluation, analytical depth and independent judgment may decline. This risk is </w:t>
      </w:r>
      <w:r w:rsidR="00400F0D">
        <w:rPr>
          <w:rFonts w:ascii="Aptos Narrow" w:hAnsi="Aptos Narrow"/>
        </w:rPr>
        <w:t>strongly pronounced</w:t>
      </w:r>
      <w:r w:rsidRPr="00975FEE">
        <w:rPr>
          <w:rFonts w:ascii="Aptos Narrow" w:hAnsi="Aptos Narrow"/>
        </w:rPr>
        <w:t xml:space="preserve"> in graduate education, where scholarly reasoning is a core learning outcome. Pedagogical approaches that emphasize critique, verification, and justification help mitigate this concern [2].</w:t>
      </w:r>
      <w:r w:rsidR="00C81CDE">
        <w:rPr>
          <w:rFonts w:ascii="Aptos Narrow" w:hAnsi="Aptos Narrow"/>
          <w:b/>
          <w:bCs/>
        </w:rPr>
        <w:t xml:space="preserve"> </w:t>
      </w:r>
      <w:r w:rsidRPr="00975FEE">
        <w:rPr>
          <w:rFonts w:ascii="Aptos Narrow" w:hAnsi="Aptos Narrow"/>
        </w:rPr>
        <w:t>Another challenge involves epistemic reliability</w:t>
      </w:r>
      <w:r w:rsidR="00C81CDE">
        <w:rPr>
          <w:rFonts w:ascii="Aptos Narrow" w:hAnsi="Aptos Narrow"/>
        </w:rPr>
        <w:t>;</w:t>
      </w:r>
      <w:r w:rsidRPr="00975FEE">
        <w:rPr>
          <w:rFonts w:ascii="Aptos Narrow" w:hAnsi="Aptos Narrow"/>
        </w:rPr>
        <w:t xml:space="preserve"> LLMs generate text probabilistically and may produce confident but inaccurate or fabricated information</w:t>
      </w:r>
      <w:r w:rsidR="00565E55">
        <w:rPr>
          <w:rFonts w:ascii="Aptos Narrow" w:hAnsi="Aptos Narrow"/>
        </w:rPr>
        <w:t xml:space="preserve">, as commonly known as </w:t>
      </w:r>
      <w:r w:rsidR="00565E55" w:rsidRPr="005A7A85">
        <w:rPr>
          <w:rFonts w:ascii="Aptos Narrow" w:hAnsi="Aptos Narrow"/>
          <w:i/>
          <w:iCs/>
        </w:rPr>
        <w:t xml:space="preserve">LLM </w:t>
      </w:r>
      <w:r w:rsidR="005A7A85" w:rsidRPr="005A7A85">
        <w:rPr>
          <w:rFonts w:ascii="Aptos Narrow" w:hAnsi="Aptos Narrow"/>
          <w:i/>
          <w:iCs/>
        </w:rPr>
        <w:t>hallucination</w:t>
      </w:r>
      <w:r w:rsidRPr="00975FEE">
        <w:rPr>
          <w:rFonts w:ascii="Aptos Narrow" w:hAnsi="Aptos Narrow"/>
        </w:rPr>
        <w:t>. Students must be taught to treat AI outputs as hypotheses to be evaluated rather than facts to be trusted [7].</w:t>
      </w:r>
      <w:r w:rsidR="00E01F67">
        <w:rPr>
          <w:rFonts w:ascii="Aptos Narrow" w:hAnsi="Aptos Narrow"/>
          <w:b/>
          <w:bCs/>
        </w:rPr>
        <w:t xml:space="preserve"> </w:t>
      </w:r>
      <w:r w:rsidR="00E01F67">
        <w:rPr>
          <w:rFonts w:ascii="Aptos Narrow" w:hAnsi="Aptos Narrow"/>
        </w:rPr>
        <w:t>Moreover, t</w:t>
      </w:r>
      <w:r w:rsidRPr="00975FEE">
        <w:rPr>
          <w:rFonts w:ascii="Aptos Narrow" w:hAnsi="Aptos Narrow"/>
        </w:rPr>
        <w:t xml:space="preserve">raditional assessment practices may also be strained by widespread AI use. Evaluating only polished written products becomes less informative when generative tools are readily available. This creates a </w:t>
      </w:r>
      <w:r w:rsidR="00E01F67">
        <w:rPr>
          <w:rFonts w:ascii="Aptos Narrow" w:hAnsi="Aptos Narrow"/>
        </w:rPr>
        <w:t xml:space="preserve">stressing </w:t>
      </w:r>
      <w:r w:rsidRPr="00975FEE">
        <w:rPr>
          <w:rFonts w:ascii="Aptos Narrow" w:hAnsi="Aptos Narrow"/>
        </w:rPr>
        <w:t>need to reconsider how learning and understanding are assessed.</w:t>
      </w:r>
    </w:p>
    <w:p w14:paraId="4F1FBAA3" w14:textId="47830B57" w:rsidR="00975FEE" w:rsidRPr="00975FEE" w:rsidRDefault="00975FEE" w:rsidP="00F454FF">
      <w:pPr>
        <w:jc w:val="both"/>
        <w:rPr>
          <w:rFonts w:ascii="Aptos Narrow" w:hAnsi="Aptos Narrow"/>
          <w:b/>
          <w:bCs/>
        </w:rPr>
      </w:pPr>
      <w:r w:rsidRPr="00975FEE">
        <w:rPr>
          <w:rFonts w:ascii="Aptos Narrow" w:hAnsi="Aptos Narrow"/>
          <w:b/>
          <w:bCs/>
        </w:rPr>
        <w:lastRenderedPageBreak/>
        <w:t>Assessment Redesign and Responsible Use</w:t>
      </w:r>
      <w:r w:rsidR="009458BA">
        <w:rPr>
          <w:rFonts w:ascii="Aptos Narrow" w:hAnsi="Aptos Narrow"/>
          <w:b/>
          <w:bCs/>
        </w:rPr>
        <w:t xml:space="preserve">. </w:t>
      </w:r>
      <w:r w:rsidRPr="00975FEE">
        <w:rPr>
          <w:rFonts w:ascii="Aptos Narrow" w:hAnsi="Aptos Narrow"/>
        </w:rPr>
        <w:t>Assessment redesign is central to responsible LLM integration. Oral defenses, iterative drafts with reflection, replication exercises, and documentation of human–AI collaboration can provide more authentic evidence of student understanding. These approaches emphasize reasoning processes and decision-making rather than final outputs alone [6].</w:t>
      </w:r>
      <w:r w:rsidR="009458BA">
        <w:rPr>
          <w:rFonts w:ascii="Aptos Narrow" w:hAnsi="Aptos Narrow"/>
        </w:rPr>
        <w:t xml:space="preserve"> </w:t>
      </w:r>
      <w:r w:rsidRPr="00975FEE">
        <w:rPr>
          <w:rFonts w:ascii="Aptos Narrow" w:hAnsi="Aptos Narrow"/>
        </w:rPr>
        <w:t xml:space="preserve">To guide ethical and effective use, this white paper proposes a framework based on five principles. These principles are </w:t>
      </w:r>
      <w:r w:rsidRPr="00673DC5">
        <w:rPr>
          <w:rFonts w:ascii="Aptos Narrow" w:hAnsi="Aptos Narrow"/>
          <w:i/>
          <w:iCs/>
        </w:rPr>
        <w:t>transparency about AI use</w:t>
      </w:r>
      <w:r w:rsidRPr="00975FEE">
        <w:rPr>
          <w:rFonts w:ascii="Aptos Narrow" w:hAnsi="Aptos Narrow"/>
        </w:rPr>
        <w:t xml:space="preserve">, </w:t>
      </w:r>
      <w:r w:rsidRPr="00673DC5">
        <w:rPr>
          <w:rFonts w:ascii="Aptos Narrow" w:hAnsi="Aptos Narrow"/>
          <w:i/>
          <w:iCs/>
        </w:rPr>
        <w:t>accountability for accuracy and reasoning</w:t>
      </w:r>
      <w:r w:rsidRPr="00975FEE">
        <w:rPr>
          <w:rFonts w:ascii="Aptos Narrow" w:hAnsi="Aptos Narrow"/>
        </w:rPr>
        <w:t xml:space="preserve">, </w:t>
      </w:r>
      <w:r w:rsidRPr="00673DC5">
        <w:rPr>
          <w:rFonts w:ascii="Aptos Narrow" w:hAnsi="Aptos Narrow"/>
          <w:i/>
          <w:iCs/>
        </w:rPr>
        <w:t>critical literacy regarding model limitations</w:t>
      </w:r>
      <w:r w:rsidRPr="00975FEE">
        <w:rPr>
          <w:rFonts w:ascii="Aptos Narrow" w:hAnsi="Aptos Narrow"/>
        </w:rPr>
        <w:t xml:space="preserve">, </w:t>
      </w:r>
      <w:r w:rsidRPr="00673DC5">
        <w:rPr>
          <w:rFonts w:ascii="Aptos Narrow" w:hAnsi="Aptos Narrow"/>
          <w:i/>
          <w:iCs/>
        </w:rPr>
        <w:t>structured reflection on AI’s role in learning</w:t>
      </w:r>
      <w:r w:rsidRPr="00975FEE">
        <w:rPr>
          <w:rFonts w:ascii="Aptos Narrow" w:hAnsi="Aptos Narrow"/>
        </w:rPr>
        <w:t xml:space="preserve">, and </w:t>
      </w:r>
      <w:r w:rsidRPr="00673DC5">
        <w:rPr>
          <w:rFonts w:ascii="Aptos Narrow" w:hAnsi="Aptos Narrow"/>
          <w:i/>
          <w:iCs/>
        </w:rPr>
        <w:t>peer discussion to normalize responsible practice</w:t>
      </w:r>
      <w:r w:rsidRPr="00975FEE">
        <w:rPr>
          <w:rFonts w:ascii="Aptos Narrow" w:hAnsi="Aptos Narrow"/>
        </w:rPr>
        <w:t xml:space="preserve">. </w:t>
      </w:r>
      <w:r w:rsidR="00620D26" w:rsidRPr="00620D26">
        <w:rPr>
          <w:rFonts w:ascii="Aptos Narrow" w:hAnsi="Aptos Narrow"/>
        </w:rPr>
        <w:t>Together, these principles enable the use of LLMs to support intellectual development rather than serve as shortcuts to academic performance [1], [2].</w:t>
      </w:r>
    </w:p>
    <w:p w14:paraId="529B1D0B" w14:textId="1F5DC9B7" w:rsidR="00975FEE" w:rsidRPr="00975FEE" w:rsidRDefault="00975FEE" w:rsidP="00F454FF">
      <w:pPr>
        <w:jc w:val="both"/>
        <w:rPr>
          <w:rFonts w:ascii="Aptos Narrow" w:hAnsi="Aptos Narrow"/>
          <w:b/>
          <w:bCs/>
        </w:rPr>
      </w:pPr>
      <w:r w:rsidRPr="00975FEE">
        <w:rPr>
          <w:rFonts w:ascii="Aptos Narrow" w:hAnsi="Aptos Narrow"/>
          <w:b/>
          <w:bCs/>
        </w:rPr>
        <w:t>Evaluating Impact at ODU</w:t>
      </w:r>
      <w:r w:rsidR="009458BA">
        <w:rPr>
          <w:rFonts w:ascii="Aptos Narrow" w:hAnsi="Aptos Narrow"/>
          <w:b/>
          <w:bCs/>
        </w:rPr>
        <w:t xml:space="preserve">. </w:t>
      </w:r>
      <w:r w:rsidR="006E70D8" w:rsidRPr="006E70D8">
        <w:rPr>
          <w:rFonts w:ascii="Aptos Narrow" w:hAnsi="Aptos Narrow"/>
        </w:rPr>
        <w:t>Evaluating the impact of LLM integration at ODU requires clear and measurable indicators that link pedagogical innovation to learning outcomes. These indicators should include students’ ability to critique and validate AI-generated content, engagement levels reflected in discussion quality and project depth, and observable trends related to academic integrity</w:t>
      </w:r>
      <w:r w:rsidRPr="00975FEE">
        <w:rPr>
          <w:rFonts w:ascii="Aptos Narrow" w:hAnsi="Aptos Narrow"/>
        </w:rPr>
        <w:t>. Surveys of AI literacy and ethical awareness, along with faculty reflections on workload and instructional effectiveness, can provide additional insight [1], [2].</w:t>
      </w:r>
    </w:p>
    <w:p w14:paraId="544529EB" w14:textId="77777777" w:rsidR="003E6744" w:rsidRDefault="00975FEE" w:rsidP="00F454FF">
      <w:pPr>
        <w:jc w:val="both"/>
        <w:rPr>
          <w:rFonts w:ascii="Aptos Narrow" w:hAnsi="Aptos Narrow"/>
        </w:rPr>
      </w:pPr>
      <w:r w:rsidRPr="00975FEE">
        <w:rPr>
          <w:rFonts w:ascii="Aptos Narrow" w:hAnsi="Aptos Narrow"/>
          <w:b/>
          <w:bCs/>
        </w:rPr>
        <w:t>Future Directions and Institutional Implications</w:t>
      </w:r>
      <w:r w:rsidR="009458BA">
        <w:rPr>
          <w:rFonts w:ascii="Aptos Narrow" w:hAnsi="Aptos Narrow"/>
          <w:b/>
          <w:bCs/>
        </w:rPr>
        <w:t xml:space="preserve">. </w:t>
      </w:r>
      <w:r w:rsidR="003E6744" w:rsidRPr="003E6744">
        <w:rPr>
          <w:rFonts w:ascii="Aptos Narrow" w:hAnsi="Aptos Narrow"/>
        </w:rPr>
        <w:t>Sustained experimentation with LLM-enabled pedagogy offers an opportunity for RIDIL to support faculty innovation while maintaining academic standards. Longitudinal studies can examine how continued exposure to AI tools shapes graduate students’ reasoning, creativity, and collaboration. At the same time, ongoing foundational research on Large Language Models, including methods for detecting AI-generated text and identifying or correcting hallucinated outputs, can help support responsible educational use, even though these research areas are still in early stages. Through interdisciplinary dialogue and evidence-based practices, ODU can serve as a leader in ethical and effective digital learning [2].</w:t>
      </w:r>
    </w:p>
    <w:p w14:paraId="1ADD0D9F" w14:textId="7E3BB96B" w:rsidR="00A621FF" w:rsidRPr="00933382" w:rsidRDefault="00A621FF" w:rsidP="00F454FF">
      <w:pPr>
        <w:jc w:val="both"/>
        <w:rPr>
          <w:rFonts w:ascii="Aptos Narrow" w:hAnsi="Aptos Narrow"/>
          <w:b/>
          <w:bCs/>
        </w:rPr>
      </w:pPr>
      <w:r w:rsidRPr="00933382">
        <w:rPr>
          <w:rFonts w:ascii="Aptos Narrow" w:hAnsi="Aptos Narrow"/>
          <w:b/>
          <w:bCs/>
        </w:rPr>
        <w:t>Conclusions</w:t>
      </w:r>
    </w:p>
    <w:p w14:paraId="6440A491" w14:textId="77777777" w:rsidR="008A4271" w:rsidRDefault="008A4271" w:rsidP="00F454FF">
      <w:pPr>
        <w:jc w:val="both"/>
        <w:rPr>
          <w:rFonts w:ascii="Aptos Narrow" w:hAnsi="Aptos Narrow"/>
        </w:rPr>
      </w:pPr>
      <w:r w:rsidRPr="008A4271">
        <w:rPr>
          <w:rFonts w:ascii="Aptos Narrow" w:hAnsi="Aptos Narrow"/>
        </w:rPr>
        <w:t>LLMs can enrich graduate education by supporting research, writing, personalized learning, and professional skill development across disciplines. At the same time, they introduce challenges related to authorship, overreliance, assessment, and epistemic trust. Responsible integration requires transparent practices, redesigned assessment approaches, and explicit attention to ethical reasoning. With thoughtful guidance and institutional support, LLMs can be used to strengthen the core values of graduate education at ODU while supporting faculty innovation and student learning.</w:t>
      </w:r>
    </w:p>
    <w:p w14:paraId="5197A172" w14:textId="0336B168" w:rsidR="004615F3" w:rsidRPr="00933382" w:rsidRDefault="00A621FF" w:rsidP="008A4271">
      <w:pPr>
        <w:rPr>
          <w:rFonts w:ascii="Aptos Narrow" w:hAnsi="Aptos Narrow"/>
          <w:b/>
          <w:bCs/>
        </w:rPr>
      </w:pPr>
      <w:r w:rsidRPr="00933382">
        <w:rPr>
          <w:rFonts w:ascii="Aptos Narrow" w:hAnsi="Aptos Narrow"/>
          <w:b/>
          <w:bCs/>
        </w:rPr>
        <w:t>References</w:t>
      </w:r>
    </w:p>
    <w:p w14:paraId="44F037F2" w14:textId="72B66E29" w:rsidR="00790D24" w:rsidRPr="00790D24" w:rsidRDefault="00790D24" w:rsidP="00F454FF">
      <w:pPr>
        <w:jc w:val="both"/>
        <w:rPr>
          <w:rFonts w:ascii="Aptos Narrow" w:hAnsi="Aptos Narrow"/>
        </w:rPr>
      </w:pPr>
      <w:r w:rsidRPr="00790D24">
        <w:rPr>
          <w:rFonts w:ascii="Aptos Narrow" w:hAnsi="Aptos Narrow"/>
        </w:rPr>
        <w:t xml:space="preserve">[1] E. </w:t>
      </w:r>
      <w:proofErr w:type="spellStart"/>
      <w:r w:rsidRPr="00790D24">
        <w:rPr>
          <w:rFonts w:ascii="Aptos Narrow" w:hAnsi="Aptos Narrow"/>
        </w:rPr>
        <w:t>Kasneci</w:t>
      </w:r>
      <w:proofErr w:type="spellEnd"/>
      <w:r w:rsidRPr="00790D24">
        <w:rPr>
          <w:rFonts w:ascii="Aptos Narrow" w:hAnsi="Aptos Narrow"/>
        </w:rPr>
        <w:t xml:space="preserve"> et al., “ChatGPT for Good? On Opportunities and Challenges of Large Language Models for</w:t>
      </w:r>
      <w:r w:rsidR="00F454FF">
        <w:rPr>
          <w:rFonts w:ascii="Aptos Narrow" w:hAnsi="Aptos Narrow"/>
        </w:rPr>
        <w:t xml:space="preserve"> </w:t>
      </w:r>
      <w:r w:rsidRPr="00790D24">
        <w:rPr>
          <w:rFonts w:ascii="Aptos Narrow" w:hAnsi="Aptos Narrow"/>
        </w:rPr>
        <w:t xml:space="preserve">Education,” </w:t>
      </w:r>
      <w:r w:rsidRPr="00790D24">
        <w:rPr>
          <w:rFonts w:ascii="Aptos Narrow" w:hAnsi="Aptos Narrow"/>
          <w:i/>
          <w:iCs/>
        </w:rPr>
        <w:t>Learning and Individual Differences</w:t>
      </w:r>
      <w:r w:rsidRPr="00790D24">
        <w:rPr>
          <w:rFonts w:ascii="Aptos Narrow" w:hAnsi="Aptos Narrow"/>
        </w:rPr>
        <w:t>, vol. 103, p. 102274, 2023.</w:t>
      </w:r>
    </w:p>
    <w:p w14:paraId="4E9F092B" w14:textId="77777777" w:rsidR="00790D24" w:rsidRPr="00790D24" w:rsidRDefault="00790D24" w:rsidP="00F454FF">
      <w:pPr>
        <w:jc w:val="both"/>
        <w:rPr>
          <w:rFonts w:ascii="Aptos Narrow" w:hAnsi="Aptos Narrow"/>
        </w:rPr>
      </w:pPr>
      <w:r w:rsidRPr="00790D24">
        <w:rPr>
          <w:rFonts w:ascii="Aptos Narrow" w:hAnsi="Aptos Narrow"/>
        </w:rPr>
        <w:t xml:space="preserve">[2] UNESCO, </w:t>
      </w:r>
      <w:r w:rsidRPr="00790D24">
        <w:rPr>
          <w:rFonts w:ascii="Aptos Narrow" w:hAnsi="Aptos Narrow"/>
          <w:i/>
          <w:iCs/>
        </w:rPr>
        <w:t>Guidance for Generative AI in Education and Research</w:t>
      </w:r>
      <w:r w:rsidRPr="00790D24">
        <w:rPr>
          <w:rFonts w:ascii="Aptos Narrow" w:hAnsi="Aptos Narrow"/>
        </w:rPr>
        <w:t>. Paris, France: UNESCO Publishing, 2023.</w:t>
      </w:r>
    </w:p>
    <w:p w14:paraId="462F90AF" w14:textId="77777777" w:rsidR="00790D24" w:rsidRPr="00790D24" w:rsidRDefault="00790D24" w:rsidP="00F454FF">
      <w:pPr>
        <w:jc w:val="both"/>
        <w:rPr>
          <w:rFonts w:ascii="Aptos Narrow" w:hAnsi="Aptos Narrow"/>
        </w:rPr>
      </w:pPr>
      <w:r w:rsidRPr="00790D24">
        <w:rPr>
          <w:rFonts w:ascii="Aptos Narrow" w:hAnsi="Aptos Narrow"/>
        </w:rPr>
        <w:t xml:space="preserve">[3] Y. K. Dwivedi et al., “So What if ChatGPT Wrote It? Multidisciplinary Perspectives on Opportunities, Challenges, and Implications of Generative Conversational AI for Research, Practice, and Policy,” </w:t>
      </w:r>
      <w:r w:rsidRPr="00790D24">
        <w:rPr>
          <w:rFonts w:ascii="Aptos Narrow" w:hAnsi="Aptos Narrow"/>
          <w:i/>
          <w:iCs/>
        </w:rPr>
        <w:t>International Journal of Information Management</w:t>
      </w:r>
      <w:r w:rsidRPr="00790D24">
        <w:rPr>
          <w:rFonts w:ascii="Aptos Narrow" w:hAnsi="Aptos Narrow"/>
        </w:rPr>
        <w:t>, vol. 71, p. 102642, 2023.</w:t>
      </w:r>
    </w:p>
    <w:p w14:paraId="29CE7027" w14:textId="77777777" w:rsidR="00790D24" w:rsidRPr="00790D24" w:rsidRDefault="00790D24" w:rsidP="00F454FF">
      <w:pPr>
        <w:jc w:val="both"/>
        <w:rPr>
          <w:rFonts w:ascii="Aptos Narrow" w:hAnsi="Aptos Narrow"/>
        </w:rPr>
      </w:pPr>
      <w:r w:rsidRPr="00790D24">
        <w:rPr>
          <w:rFonts w:ascii="Aptos Narrow" w:hAnsi="Aptos Narrow"/>
        </w:rPr>
        <w:t xml:space="preserve">[4] X. Zhai, “ChatGPT User Experience: Implications for Education and Research,” </w:t>
      </w:r>
      <w:r w:rsidRPr="00790D24">
        <w:rPr>
          <w:rFonts w:ascii="Aptos Narrow" w:hAnsi="Aptos Narrow"/>
          <w:i/>
          <w:iCs/>
        </w:rPr>
        <w:t>Computers and Education: Artificial Intelligence</w:t>
      </w:r>
      <w:r w:rsidRPr="00790D24">
        <w:rPr>
          <w:rFonts w:ascii="Aptos Narrow" w:hAnsi="Aptos Narrow"/>
        </w:rPr>
        <w:t>, vol. 5, p. 100123, 2023.</w:t>
      </w:r>
    </w:p>
    <w:p w14:paraId="6FB15531" w14:textId="77777777" w:rsidR="00790D24" w:rsidRPr="00790D24" w:rsidRDefault="00790D24" w:rsidP="00F454FF">
      <w:pPr>
        <w:jc w:val="both"/>
        <w:rPr>
          <w:rFonts w:ascii="Aptos Narrow" w:hAnsi="Aptos Narrow"/>
        </w:rPr>
      </w:pPr>
      <w:r w:rsidRPr="00790D24">
        <w:rPr>
          <w:rFonts w:ascii="Aptos Narrow" w:hAnsi="Aptos Narrow"/>
        </w:rPr>
        <w:lastRenderedPageBreak/>
        <w:t xml:space="preserve">[5] H. Crompton and D. Burke, “Artificial Intelligence and Education: Frameworks for Ethical Integration and Pedagogical Innovation,” </w:t>
      </w:r>
      <w:r w:rsidRPr="00790D24">
        <w:rPr>
          <w:rFonts w:ascii="Aptos Narrow" w:hAnsi="Aptos Narrow"/>
          <w:i/>
          <w:iCs/>
        </w:rPr>
        <w:t>Computers &amp; Education</w:t>
      </w:r>
      <w:r w:rsidRPr="00790D24">
        <w:rPr>
          <w:rFonts w:ascii="Aptos Narrow" w:hAnsi="Aptos Narrow"/>
        </w:rPr>
        <w:t>, vol. 206, p. 104889, 2024.</w:t>
      </w:r>
    </w:p>
    <w:p w14:paraId="011E2E84" w14:textId="77777777" w:rsidR="00790D24" w:rsidRPr="00790D24" w:rsidRDefault="00790D24" w:rsidP="00F454FF">
      <w:pPr>
        <w:jc w:val="both"/>
        <w:rPr>
          <w:rFonts w:ascii="Aptos Narrow" w:hAnsi="Aptos Narrow"/>
        </w:rPr>
      </w:pPr>
      <w:r w:rsidRPr="00790D24">
        <w:rPr>
          <w:rFonts w:ascii="Aptos Narrow" w:hAnsi="Aptos Narrow"/>
        </w:rPr>
        <w:t xml:space="preserve">[6] J. Rudolph, S. Tan, and S. Tan, “ChatGPT: Bullshit Spewer or the End of Traditional Assessments in Higher Education?” </w:t>
      </w:r>
      <w:r w:rsidRPr="00790D24">
        <w:rPr>
          <w:rFonts w:ascii="Aptos Narrow" w:hAnsi="Aptos Narrow"/>
          <w:i/>
          <w:iCs/>
        </w:rPr>
        <w:t>Journal of Applied Learning &amp; Teaching</w:t>
      </w:r>
      <w:r w:rsidRPr="00790D24">
        <w:rPr>
          <w:rFonts w:ascii="Aptos Narrow" w:hAnsi="Aptos Narrow"/>
        </w:rPr>
        <w:t>, vol. 6, no. 1, pp. 1–22, 2023.</w:t>
      </w:r>
    </w:p>
    <w:p w14:paraId="7DEB3F36" w14:textId="77777777" w:rsidR="00790D24" w:rsidRPr="00790D24" w:rsidRDefault="00790D24" w:rsidP="00F454FF">
      <w:pPr>
        <w:jc w:val="both"/>
        <w:rPr>
          <w:rFonts w:ascii="Aptos Narrow" w:hAnsi="Aptos Narrow"/>
        </w:rPr>
      </w:pPr>
      <w:r w:rsidRPr="00790D24">
        <w:rPr>
          <w:rFonts w:ascii="Aptos Narrow" w:hAnsi="Aptos Narrow"/>
        </w:rPr>
        <w:t xml:space="preserve">[7] OpenAI, “GPT-4 Technical Report,” </w:t>
      </w:r>
      <w:proofErr w:type="spellStart"/>
      <w:r w:rsidRPr="00790D24">
        <w:rPr>
          <w:rFonts w:ascii="Aptos Narrow" w:hAnsi="Aptos Narrow"/>
          <w:i/>
          <w:iCs/>
        </w:rPr>
        <w:t>arXiv</w:t>
      </w:r>
      <w:proofErr w:type="spellEnd"/>
      <w:r w:rsidRPr="00790D24">
        <w:rPr>
          <w:rFonts w:ascii="Aptos Narrow" w:hAnsi="Aptos Narrow"/>
          <w:i/>
          <w:iCs/>
        </w:rPr>
        <w:t xml:space="preserve"> preprint</w:t>
      </w:r>
      <w:r w:rsidRPr="00790D24">
        <w:rPr>
          <w:rFonts w:ascii="Aptos Narrow" w:hAnsi="Aptos Narrow"/>
        </w:rPr>
        <w:t xml:space="preserve"> arXiv:2303.08774, 2024.</w:t>
      </w:r>
    </w:p>
    <w:p w14:paraId="4A7150C7" w14:textId="77777777" w:rsidR="00A621FF" w:rsidRPr="00933382" w:rsidRDefault="00A621FF" w:rsidP="007F547E">
      <w:pPr>
        <w:rPr>
          <w:rFonts w:ascii="Aptos Narrow" w:hAnsi="Aptos Narrow"/>
        </w:rPr>
      </w:pPr>
    </w:p>
    <w:p w14:paraId="0899DCEF" w14:textId="772AD894" w:rsidR="004615F3" w:rsidRPr="00933382" w:rsidRDefault="009E0090" w:rsidP="007F547E">
      <w:pPr>
        <w:rPr>
          <w:rFonts w:ascii="Aptos Narrow" w:hAnsi="Aptos Narrow"/>
          <w:b/>
          <w:bCs/>
          <w:i/>
          <w:iCs/>
        </w:rPr>
      </w:pPr>
      <w:r w:rsidRPr="00933382">
        <w:rPr>
          <w:rFonts w:ascii="Aptos Narrow" w:hAnsi="Aptos Narrow"/>
          <w:b/>
          <w:bCs/>
          <w:i/>
          <w:iCs/>
        </w:rPr>
        <w:t xml:space="preserve"> </w:t>
      </w:r>
    </w:p>
    <w:p w14:paraId="6A47F894" w14:textId="77777777" w:rsidR="00310C12" w:rsidRPr="00933382" w:rsidRDefault="00310C12" w:rsidP="007F547E">
      <w:pPr>
        <w:rPr>
          <w:rFonts w:ascii="Aptos Narrow" w:hAnsi="Aptos Narrow"/>
          <w:b/>
          <w:bCs/>
        </w:rPr>
      </w:pPr>
    </w:p>
    <w:p w14:paraId="6BC63FB9" w14:textId="77777777" w:rsidR="00310C12" w:rsidRPr="00933382" w:rsidRDefault="00310C12" w:rsidP="007F547E">
      <w:pPr>
        <w:rPr>
          <w:rFonts w:ascii="Aptos Narrow" w:hAnsi="Aptos Narrow"/>
        </w:rPr>
      </w:pPr>
    </w:p>
    <w:sectPr w:rsidR="00310C12" w:rsidRPr="00933382" w:rsidSect="00E20A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6A89" w14:textId="77777777" w:rsidR="00250604" w:rsidRDefault="00250604" w:rsidP="00A73C13">
      <w:pPr>
        <w:spacing w:after="0" w:line="240" w:lineRule="auto"/>
      </w:pPr>
      <w:r>
        <w:separator/>
      </w:r>
    </w:p>
  </w:endnote>
  <w:endnote w:type="continuationSeparator" w:id="0">
    <w:p w14:paraId="21D2D7F6" w14:textId="77777777" w:rsidR="00250604" w:rsidRDefault="00250604" w:rsidP="00A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C65" w14:textId="77777777" w:rsidR="00A73C13" w:rsidRDefault="00A7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A15" w14:textId="77777777" w:rsidR="00A73C13" w:rsidRDefault="00A7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9C4" w14:textId="77777777" w:rsidR="00A73C13" w:rsidRDefault="00A7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8160" w14:textId="77777777" w:rsidR="00250604" w:rsidRDefault="00250604" w:rsidP="00A73C13">
      <w:pPr>
        <w:spacing w:after="0" w:line="240" w:lineRule="auto"/>
      </w:pPr>
      <w:r>
        <w:separator/>
      </w:r>
    </w:p>
  </w:footnote>
  <w:footnote w:type="continuationSeparator" w:id="0">
    <w:p w14:paraId="25EAC647" w14:textId="77777777" w:rsidR="00250604" w:rsidRDefault="00250604" w:rsidP="00A7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0EB" w14:textId="77777777" w:rsidR="00A73C13" w:rsidRDefault="00A7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16A" w14:textId="77777777" w:rsidR="00A73C13" w:rsidRDefault="00A7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2EBD" w14:textId="3CE877EF" w:rsidR="00A73C13" w:rsidRDefault="00A73C13">
    <w:pPr>
      <w:pStyle w:val="Header"/>
    </w:pPr>
    <w:r>
      <w:rPr>
        <w:noProof/>
      </w:rPr>
      <w:drawing>
        <wp:anchor distT="0" distB="0" distL="114300" distR="114300" simplePos="0" relativeHeight="251659264" behindDoc="0" locked="0" layoutInCell="1" allowOverlap="1" wp14:anchorId="3D4DEDE8" wp14:editId="20E594FD">
          <wp:simplePos x="0" y="0"/>
          <wp:positionH relativeFrom="column">
            <wp:posOffset>-557530</wp:posOffset>
          </wp:positionH>
          <wp:positionV relativeFrom="paragraph">
            <wp:posOffset>-73025</wp:posOffset>
          </wp:positionV>
          <wp:extent cx="7068312" cy="1088136"/>
          <wp:effectExtent l="0" t="0" r="0" b="4445"/>
          <wp:wrapSquare wrapText="bothSides"/>
          <wp:docPr id="327636214" name="Picture 3"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6214" name="Picture 3" descr="A blue and yellow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312" cy="10881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E"/>
    <w:rsid w:val="000318F6"/>
    <w:rsid w:val="000C4F35"/>
    <w:rsid w:val="000D2CC5"/>
    <w:rsid w:val="000E2D55"/>
    <w:rsid w:val="00137BB2"/>
    <w:rsid w:val="001527CD"/>
    <w:rsid w:val="00163351"/>
    <w:rsid w:val="00170277"/>
    <w:rsid w:val="0017480A"/>
    <w:rsid w:val="00176670"/>
    <w:rsid w:val="00194A9A"/>
    <w:rsid w:val="001A1FBE"/>
    <w:rsid w:val="002376C2"/>
    <w:rsid w:val="00250604"/>
    <w:rsid w:val="002B51D5"/>
    <w:rsid w:val="002C2125"/>
    <w:rsid w:val="002D0D8C"/>
    <w:rsid w:val="002D279A"/>
    <w:rsid w:val="002D37E7"/>
    <w:rsid w:val="002F25F7"/>
    <w:rsid w:val="00310C12"/>
    <w:rsid w:val="003612F6"/>
    <w:rsid w:val="003654CA"/>
    <w:rsid w:val="00371B8C"/>
    <w:rsid w:val="0038646B"/>
    <w:rsid w:val="003B4CD6"/>
    <w:rsid w:val="003E6744"/>
    <w:rsid w:val="00400F0D"/>
    <w:rsid w:val="00412C79"/>
    <w:rsid w:val="004615F3"/>
    <w:rsid w:val="00487F2F"/>
    <w:rsid w:val="00493CFC"/>
    <w:rsid w:val="00495B4A"/>
    <w:rsid w:val="004D3307"/>
    <w:rsid w:val="004E5762"/>
    <w:rsid w:val="004F0466"/>
    <w:rsid w:val="00544A5F"/>
    <w:rsid w:val="00546A31"/>
    <w:rsid w:val="00565E55"/>
    <w:rsid w:val="005A7A85"/>
    <w:rsid w:val="005C163C"/>
    <w:rsid w:val="005C188D"/>
    <w:rsid w:val="005C53DB"/>
    <w:rsid w:val="005C6586"/>
    <w:rsid w:val="005D6D85"/>
    <w:rsid w:val="005F7D79"/>
    <w:rsid w:val="00620D26"/>
    <w:rsid w:val="0063070B"/>
    <w:rsid w:val="00665E07"/>
    <w:rsid w:val="00673DC5"/>
    <w:rsid w:val="006D5816"/>
    <w:rsid w:val="006E563A"/>
    <w:rsid w:val="006E70D8"/>
    <w:rsid w:val="007240E6"/>
    <w:rsid w:val="0072456C"/>
    <w:rsid w:val="0074614E"/>
    <w:rsid w:val="00790D24"/>
    <w:rsid w:val="007B7988"/>
    <w:rsid w:val="007B7AA6"/>
    <w:rsid w:val="007C1BA9"/>
    <w:rsid w:val="007D3F29"/>
    <w:rsid w:val="007E7603"/>
    <w:rsid w:val="007F547E"/>
    <w:rsid w:val="00813098"/>
    <w:rsid w:val="00817C8D"/>
    <w:rsid w:val="00852A90"/>
    <w:rsid w:val="008A4271"/>
    <w:rsid w:val="008B70F3"/>
    <w:rsid w:val="008B7D6F"/>
    <w:rsid w:val="00900C7D"/>
    <w:rsid w:val="00933382"/>
    <w:rsid w:val="009458BA"/>
    <w:rsid w:val="00960645"/>
    <w:rsid w:val="00975FEE"/>
    <w:rsid w:val="009A4561"/>
    <w:rsid w:val="009D62C9"/>
    <w:rsid w:val="009E0090"/>
    <w:rsid w:val="00A31C22"/>
    <w:rsid w:val="00A53132"/>
    <w:rsid w:val="00A621FF"/>
    <w:rsid w:val="00A73C13"/>
    <w:rsid w:val="00AA1758"/>
    <w:rsid w:val="00AE6A65"/>
    <w:rsid w:val="00AF732E"/>
    <w:rsid w:val="00B20310"/>
    <w:rsid w:val="00B47613"/>
    <w:rsid w:val="00B70E46"/>
    <w:rsid w:val="00B75571"/>
    <w:rsid w:val="00B81EEA"/>
    <w:rsid w:val="00BB3F03"/>
    <w:rsid w:val="00BD76EC"/>
    <w:rsid w:val="00C240F4"/>
    <w:rsid w:val="00C620D1"/>
    <w:rsid w:val="00C621A0"/>
    <w:rsid w:val="00C81CDE"/>
    <w:rsid w:val="00CD05E0"/>
    <w:rsid w:val="00CD50EF"/>
    <w:rsid w:val="00D05C73"/>
    <w:rsid w:val="00D11789"/>
    <w:rsid w:val="00D27125"/>
    <w:rsid w:val="00D71FEB"/>
    <w:rsid w:val="00D87755"/>
    <w:rsid w:val="00D95AE2"/>
    <w:rsid w:val="00DB6754"/>
    <w:rsid w:val="00DD568F"/>
    <w:rsid w:val="00DE32BC"/>
    <w:rsid w:val="00DF612C"/>
    <w:rsid w:val="00E01F67"/>
    <w:rsid w:val="00E20A7D"/>
    <w:rsid w:val="00E57732"/>
    <w:rsid w:val="00EB0E2B"/>
    <w:rsid w:val="00EF27CA"/>
    <w:rsid w:val="00F00E58"/>
    <w:rsid w:val="00F12F80"/>
    <w:rsid w:val="00F4128F"/>
    <w:rsid w:val="00F45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BAD8"/>
  <w15:chartTrackingRefBased/>
  <w15:docId w15:val="{8E6A38D9-A338-4B71-9FF4-2B6CEE4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13"/>
  </w:style>
  <w:style w:type="paragraph" w:styleId="Footer">
    <w:name w:val="footer"/>
    <w:basedOn w:val="Normal"/>
    <w:link w:val="FooterChar"/>
    <w:uiPriority w:val="99"/>
    <w:unhideWhenUsed/>
    <w:rsid w:val="00A7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13"/>
  </w:style>
  <w:style w:type="paragraph" w:styleId="Title">
    <w:name w:val="Title"/>
    <w:basedOn w:val="Normal"/>
    <w:next w:val="Normal"/>
    <w:link w:val="TitleChar"/>
    <w:uiPriority w:val="10"/>
    <w:qFormat/>
    <w:rsid w:val="007B7AA6"/>
    <w:pPr>
      <w:jc w:val="center"/>
    </w:pPr>
    <w:rPr>
      <w:rFonts w:ascii="Aptos Narrow" w:hAnsi="Aptos Narrow" w:cs="Arial"/>
      <w:b/>
      <w:bCs/>
      <w:sz w:val="32"/>
      <w:szCs w:val="32"/>
    </w:rPr>
  </w:style>
  <w:style w:type="character" w:customStyle="1" w:styleId="TitleChar">
    <w:name w:val="Title Char"/>
    <w:basedOn w:val="DefaultParagraphFont"/>
    <w:link w:val="Title"/>
    <w:uiPriority w:val="10"/>
    <w:rsid w:val="007B7AA6"/>
    <w:rPr>
      <w:rFonts w:ascii="Aptos Narrow" w:hAnsi="Aptos Narrow"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1339</Words>
  <Characters>8677</Characters>
  <Application>Microsoft Office Word</Application>
  <DocSecurity>0</DocSecurity>
  <Lines>120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Nickel, Christine E.</cp:lastModifiedBy>
  <cp:revision>113</cp:revision>
  <dcterms:created xsi:type="dcterms:W3CDTF">2023-12-09T22:51:00Z</dcterms:created>
  <dcterms:modified xsi:type="dcterms:W3CDTF">2026-02-18T12:54:00Z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7245db90-9409-4409-8c60-dcc05b45fec1</vt:lpwstr>
  </property>
</Properties>
</file>